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ПОЛОЖЕНИЕ КОНКУРСА «ЛИДЕР КАЧЕСТВА»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Настоящее Положение о Конкурсе «Лидер качества» (далее — Положение) регулирует общий порядок и условия, права и обязанности участников, Организатора и других сторон, вовлеченных в процесс проведения Конкурса «Лидер качества» (далее — 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курс), организованного Автономной некоммерческой организацией «Российская система качества» (далее — Организатор).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 Настоящее Положение определяет: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миссию, цели и задачи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сроки и место проведения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органы управления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состав участников и номинации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особенности, этапы и процедуры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методику и критерии оценки участников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награждения победителей и участников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организационной поддержки участников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обработки персональных данных участников;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права на результаты интеллектуальной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исключения участников из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1.3. Организатором Конкурса является Автономная некоммерческая организация «Российская система качества».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1.4. Конкурс учрежден в статусе открытого всероссийского. Участниками Конкурса могут быть граждане Российской Федерации в возрасте от 18 лет на момент подачи заявки.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1.5. Участие в Конкурсе является добровольным. Подача заявки означает согласие участника с условиями настоящего Положения.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1.6. Официальный язык Конкурса — русский.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1.7. Официальный сайт Конкурса: </w:t>
      </w:r>
      <w:hyperlink r:id="rId9" w:tooltip="https://roskachestvo.gov.ru/q-leader/" w:history="1">
        <w:r>
          <w:rPr>
            <w:rStyle w:val="129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https://roskachestvo.gov.ru/q-leader/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2. МИССИЯ, ЦЕЛИ И ЗАДАЧИ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Миссия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содействие выявлению, поддержке и продвижению лучших практик в области управления качеством, а также поощрение лидеров, внедряющих инновационные решения и способствующих повышению качества продукции и услуг в Российской Федерации. Конкурс также направлен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развитие культуры качества на законодательном и практическом уровнях.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популяризация профессионализма в сфере качества, создание коммуникационной площадки для обмена опытом и лучшими практиками, а также формирование сообщества лидеров качества.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Задачи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Создание условий для честной конкуренции и обмена опытом внедрения лучших практик в области управления качеством.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Выявление и поддержка лидеров, способствующих развитию культуры качества в России.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Содействие развитию кадрового резерва в области качества.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Продвижение практических достижений специалистов, работающих в области качества.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Поощрение внедрения инновационных решений и оптимизации процессов для повышения качества продукции и услуг.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Популяризация профессионализма и создание коммуникационной площадки для обмена опытом.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Формирование и поддержка индивидуальных траекторий роста для участников и победителей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Содействие развитию нормативно-правовой базы в области качества.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3. СРОКИ И МЕСТО ПРОВЕДЕНИЯ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 Конкурс проводится в период с марта 2025 года по ноябрь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 Сроки проведения Конкурса могут быть изменены только в случае форс-мажорных обстоятельств с обязательным уведомлением участников через официальный сайт и другие каналы связи.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3.3. 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Этапы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Регистрация участников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марта 2025 года по 30 мая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Комплексное оценивание участников экспертами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с 1 июня 2025 года по 30 августа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Подведение и опубликование итогов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с 1 сентября 2025 года по 1 октября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Церемония награждения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13 ноября 2025 года в рамках Международного форума «Всемирный день качества — 2025».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 Место проведения финальных мероприятий Конкурса: г. Москва, место проведения Награждения участников уточняется Организатором.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4. ОРГАНЫ УПРАВЛЕНИЯ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Органами управления Конкурса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Наблюдательный совет Конкурса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Экспертный совет Конкурса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Состав органов управления Конкурса утверждается Организатором и публикуется на официальном сайте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4.3. 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Наблюдательный совет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формируется из числа руководителей коммерческих, некоммерческих и государственных организаций, в том числе государственных органов власти, и их заместителей. Члены Наблюдательного совета не могут быть участниками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Функции Наблюдательного совета: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Осуществление общего контроля за соблюдением процедуры проведения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Рассмотрение апелляций участников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Утверждение победителей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4.4. 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Экспертный совет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формируется из числа экспертов в области качества с подтвержденным опытом работы не менее 5 лет, утверждается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Организатором и публикуется на официальном сайте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Функции Экспертного совета: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Проверка полноты комплектов документов, представленных участниками.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Анализ и оценка конкурсной документации в соответствии с методикой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Определение победителей в соответствии с методикой Конкурса и передача отчета о результатах оценки в Наблюдательный совет.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5. СОСТАВ УЧАСТНИКОВ И НОМИНАЦИИ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5.1. Участником Конкурса может быть гражданин Российской Федерации в возрасте от 18 лет на момент подачи заявки. Участники обязаны предоставить подтверждение своего профессионального опыта.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5.2. Участники самостоятельно определяют номинацию Конкурса в соответствии со своим опытом и выполняемыми функциями.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5.3. 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Номинации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5.3.1.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Лучшие практики ESG в области качества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contextualSpacing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направлена на выявление и поощрение стратегий, инициатив и проектов, которые эффективно интегрируют экологические, социальные и управленческие принципы (ESG) в практики управления качеством.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Номинация включает в себя подноминации: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1312"/>
        <w:numPr>
          <w:ilvl w:val="0"/>
          <w:numId w:val="18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Выдающийся вклад в развитие лучших практик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ESG в области качества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признает специалистов, которые внесли значительный и долгосрочный вклад в развитие лучших практик управления качеством, включая внедрение ESG-принципов.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12"/>
        <w:numPr>
          <w:ilvl w:val="0"/>
          <w:numId w:val="18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Лидер наставничества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ESG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ind w:left="709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отмечает профессионалов, которые активно делятся своими знаниями и опытом, помогая развивать компетенции других специалистов в сфере ESG и качества.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12"/>
        <w:numPr>
          <w:ilvl w:val="0"/>
          <w:numId w:val="18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Лучший профессионал года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ESG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присуждается специалисту, который продемонстрировал выдающиеся достижения в сфере управления качеством, внедрив эффективные ESG-практики и методы.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12"/>
        <w:numPr>
          <w:ilvl w:val="0"/>
          <w:numId w:val="185"/>
        </w:numPr>
        <w:contextualSpacing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Перспективный талант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ESG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предназначена для начинающих специалистов, проявивших выдающиеся способности и инновационные идеи в области ESG и качества.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5.3.2.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Лучшие цифровые инновации в области качества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направлена на выявление инициатив, которые используют цифровые технологии для улучшения управления качеством.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contextualSpacing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Номинация включает в себя подноминации: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1312"/>
        <w:numPr>
          <w:ilvl w:val="0"/>
          <w:numId w:val="18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Выдающийся вклад в развитие практик управления в области цифровых инноваций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признает специалистов, которые внесли значительный вклад в развитие цифровых практик управления качеством.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12"/>
        <w:numPr>
          <w:ilvl w:val="0"/>
          <w:numId w:val="18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Лидер наставничества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цифровых инноваций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отмечает профессионалов, которые активно делятся своими знаниями в области цифровых технологий и качества.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12"/>
        <w:numPr>
          <w:ilvl w:val="0"/>
          <w:numId w:val="18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Лучший профессионал года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цифровых инноваций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присуждается специалисту, который продемонстрировал выдающиеся достижения в сфере цифровых инноваций и качества.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12"/>
        <w:numPr>
          <w:ilvl w:val="0"/>
          <w:numId w:val="186"/>
        </w:numPr>
        <w:contextualSpacing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Перспективный талант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цифровых инноваций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предназначена для начинающих специалистов, проявивших инновационные идеи в области цифровых технологий и качества.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5.3.3.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Лучшие практики бережливого производства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поддерживает инициативы, направленные на оптимизацию процессов, повышение качества продукции и услуг, а также внедрение принципов устойчивого развития.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Номинация включает в себя подноминации: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1312"/>
        <w:numPr>
          <w:ilvl w:val="0"/>
          <w:numId w:val="187"/>
        </w:numPr>
        <w:contextualSpacing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Выдающийся вклад в развитие практик бережливого производства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contextualSpacing/>
        <w:ind w:left="709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признает специалистов, которые внесли значительный вклад в развитие и внедрение бережливых практик в организациях.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pStyle w:val="1312"/>
        <w:numPr>
          <w:ilvl w:val="0"/>
          <w:numId w:val="188"/>
        </w:numPr>
        <w:contextualSpacing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Лидер наставничества в области бережливого производства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contextualSpacing/>
        <w:ind w:left="709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отмечает профессионалов, которые активно делятся своими знаниями и опытом в области бережливого производства, обучая коллег и внедряя культуру непрерывного улучшения.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pStyle w:val="1312"/>
        <w:numPr>
          <w:ilvl w:val="0"/>
          <w:numId w:val="189"/>
        </w:numPr>
        <w:contextualSpacing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Лучший профессионал года в области бережливого производства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contextualSpacing/>
        <w:ind w:left="709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присуждается специалисту, который продемонстрировал выдающиеся достижения в сфере бережливого производства, внедрив эффективные практики и добившись значительных результатов.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pStyle w:val="1312"/>
        <w:numPr>
          <w:ilvl w:val="0"/>
          <w:numId w:val="190"/>
        </w:numPr>
        <w:contextualSpacing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Перспективный талант в области бережливого производства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contextualSpacing/>
        <w:ind w:left="709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предназначена для начинающих специалистов, которые проявили инновационные идеи и способности в области бережливого производства, даже на начальных этапах своей карьеры.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5.3.4.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Визионерские инициативы в области качества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поддерживает инициативы, направленные на создание устойчивых и эффективных систем управления качеством, которые ориентированы на долгосрочные результаты.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contextualSpacing/>
        <w:spacing w:line="360" w:lineRule="auto"/>
      </w:pPr>
      <w:r/>
      <w:r/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6. ЭТАПЫ И ПРОЦЕДУРЫ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6.1. 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Этапы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Заявочный этап (10.03.2025–30.05.2025)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Участники заполняют форму заявки и по желанию прикрепляют до восьми слайдов PowerPoint в поддержку своей заявки.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Оценка заявок экспертами (01.06.2025–30.08.2025)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Проводится первичная проверка заявок на соответствие формальным требованиям. Каждая заявка оценивается группой экспертов.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7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Подведение итогов и награждение (01.09.2025–13.11.2025)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Экспертный совет выявляет победителей, Наблюдательный совет утверждает их путем голосования. Церемония награждения проводится 13 ноября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6.2. Участники имеют право подать апелляцию в случае несогласия с оценкой экспертов. Апелляции рассматриваются Наблюдательным советом в течение 10 рабочих дней.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7. МЕТОДИКА И КРИТЕРИИ ОЦЕНКИ УЧАСТНИКОВ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7.1. 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Критерии оценки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7.1.1. Номинация Выдающийся вклад в развитие ESG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технологий, способствующих интеграции ESG-принципов в управление качеством.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Уникальность предложенных решений.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которые привели к улучшению экологических, социальных и управленческих показателей.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Доказанная эффективность внедренных практик.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и экологическое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Измеримое положительное влияние на окружающую среду, общество и корпоративное управление.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устойчивое развитие организации или отрасли.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Возможность применения практик в других организациях или отраслях.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Потенциал для тиражирования и внедрения на национальном или международном уровне.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Соответствие законодательству РФ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Соблюдение нормативно-правовых требований в области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7.1.2. Номинация Лидер наставничества в области ESG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Обучение и развитие кадров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7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обученных специалистов и их успехи в области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7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Разработка образовательных программ, тренингов или методических материалов.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Передача опыта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Активное участие в наставничестве, консультировании и поддержке коллег.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влияние на повышение компетенций других специалистов.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 знаний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9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разработанных под руководством наставника.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99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Успешное внедрение ESG-практик в организациях, где работают ученики.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0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развитие культуры ESG в профессиональном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0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Участие в общественных инициативах, направленных на популяризацию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7.1.3. Номинация Лучший профессионал года в области ESG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Профессиональные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значимых проектов в области ESG, которые привели к улучшению качества продукции или услуг.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лидерство в управлении ESG-инициативами.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технологий, способствующих развитию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и экологическое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Измеримое положительное влияние на окружающую среду и общество.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Репутация и признание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Наличие наград, публикаций или признания в профессиональном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Возможность применения разработанных практик в других организациях.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7.1.4. Номинация Перспективный талант в области ESG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Инновационные идеи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Предложение новых подходов или решений в области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Потенциал для развития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7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Демонстрация способностей к дальнейшему профессиональному росту.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 или инициатив, даже на начальном этапе.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09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развитие ESG-культуры в организации или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Образовательные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0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Участие в образовательных программах, тренингах или научных исследованиях.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7.1.5. Номинация Выдающийся вклад в цифровые практики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Разработка и внедрение новых цифровых технологий, улучшающих управление качеством.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которые привели к повышению качества продукции или услуг.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Эффективность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улучшение процессов за счет цифровых решений.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Возможность применения технологий в других организациях или отраслях.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Соответствие законодательству РФ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Соблюдение нормативно-правовых требований в области цифровых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7.1.6. Номинация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Лидер наставничества в цифровых инновациях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Обучение и развитие кадров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обученных специалистов и их успехи в области цифровых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Передача опыта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7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Активное участие в наставничестве и консультировании.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 знаний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разработанных под руководством наставника.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19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 в образовательный процесс.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7.1.7.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Лучший профессионал года в цифровых инновациях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Профессиональные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0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значимых проектов в области цифровых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Эффективность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улучшение процессов за счет цифровых решений.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Репутация и признание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Наличие наград, публикаций или признания в профессиональном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8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7.1.8.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Перспективный талант в цифровых инновациях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Инновационные идеи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Предложение новых подходов или решений в области цифровых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Потенциал для развития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Демонстрация способностей к дальнейшему профессиональному росту.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Реализация проектов или инициатив, даже на начальном этапе.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</w:p>
    <w:p>
      <w:pPr>
        <w:pStyle w:val="1136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7.1.9.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Выдающийся вклад в развитие практик бережливого производства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подходов, методик или технологий в бережливое производство.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которые привели к значительному улучшению процессов.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Экономический эффект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снижение издержек или повышение прибыльности.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Возможность применения практик в других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организациях/отраслях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Улучшение условий труда, вовлеченности сотрудников или безопасности на производстве.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6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7.1.10.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Лидер наставничества в области бережливого производства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обученных специалистов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Число сотрудников, прошедших обучение под руководством наставника.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 учениками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проектов, реализованных учениками под руководством наставника.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Качество обучения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Уровень удовлетворенности сотрудников обучением (по результатам опросов).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практик в организациях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4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организаций или подразделений, где были внедрены практики, переданные наставником.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Долгосрочный эффект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5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Устойчивость результатов, достигнутых благодаря наставничеству.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6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7.1.11. Номинация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Лучший профессионал года в области бережливого производства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Профессиональные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значимых проектов, которые привели к улучшению процессов.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 в бережливое производство.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Экономический эффект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снижение издержек или повышение прибыльности.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6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Улучшение условий труда, вовлеченности сотрудников или безопасности на производстве.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Репутация и признание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7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Наличие наград, публикаций или признания в профессиональном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6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7.1.12.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Перспективный талант в области бережливого производства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Инновационные идеи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Предложение новых подходов или решений в области бережливого производства.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 или инициатив, даже на начальном этапе.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Потенциал для развития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Демонстрация способностей к дальнейшему профессиональному росту.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развитие культуры бережливого производства в организации.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Образовательные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9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Участие в образовательных программах, тренингах или научных исследованиях.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36"/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7.1.13.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Визионерские инициативы в области качества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Долгосрочное видение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7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Предложение стратегий, ориентированных на устойчивое развитие и долгосрочные, поэтапные результаты.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8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технологий, способствующих улучшению качества на протяжении 10-15 лет.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29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инициатив, которые уже привели к значительным улучшениям в управлении качеством в рамках данной инициативы.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и экологическое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0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устойчивое развитие и улучшение качества жизни.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23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Возможность применения инициатив в других организациях или отраслях.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7.2. 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Методика оценки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312"/>
        <w:numPr>
          <w:ilvl w:val="0"/>
          <w:numId w:val="19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Каждая заявка оценивается по шкале от 0 до 10 баллов по каждому критерию.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12"/>
        <w:numPr>
          <w:ilvl w:val="0"/>
          <w:numId w:val="19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Итоговая оценка формируется как среднее арифметическое всех оценок.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8. ПОРЯДОК НАГРАЖДЕНИЯ ПОБЕДИТЕЛЕЙ И УЧАСТНИКОВ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8.1. Победители награждаются брендированной статуэткой, дипломом и включаются в Реестр победителей, публикуемый на официальном сайте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9. ПОРЯДОК ОРГАНИЗАЦИОННОЙ ПОДДЕРЖКИ УЧАСТНИКОВ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9.1. Организатор обеспечивает информационное, консультационное и техническое сопровождение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9.2. Участие в Конкурсе бесплатное.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10. ОБРАБОТКА ПЕРСОНАЛЬНЫХ ДАННЫХ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10.1. Участники Конкурса, подавая заявку на участие, дают согласие на обработку своих персональных данных, предоставленных в рамках Конкурса, в соответствии с Федеральным законом от 27.07.2006 № 152-ФЗ «О персональных данных».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10.2. Организатор обязуется использовать персональные данные участников исключительно в целях организации и проведения Конкурса, включая: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регистрацию участников;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оценку конкурсных работ;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информирование участников о результатах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награждение победителей;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1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публикацию информации о победителях и участниках на официальном сайте Конкурса и в других информационных материалах.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10.3. Участники имеют право отозвать свое согласие на обработку персональных данных, направив соответствующее заявление на адрес электронной почты Организатора. В случае отзыва согласия участник исключается из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10.4. Организатор гарантирует конфиденциальность персональных данных участников и не передает их третьим лицам без согласия участника,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11. ПРАВА НА РЕЗУЛЬТАТЫ ИНТЕЛЛЕКТУАЛЬНОЙ ДЕЯТЕЛЬНОСТИ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11.1. Участники Конкурса гарантируют, что представленные ими конкурсные работы являются результатом их собственной интеллектуальной деятельности и не нарушают права третьих лиц.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11.2. Участники Конкурса предоставляют Организатору неисключительное право на использование конкурсных работ, включая: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публикацию работ на официальном сайте Конкурса и в других информационных материалах;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использование работ в целях популяризации Конкурса и продвижения лучших практик в области качества;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2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воспроизведение, распространение и доведение до всеобщего сведения конкурсных работ в рамках мероприятий, связанных с Конкурсом.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11.3. Авторские права на конкурсные работы сохраняются за участниками Конкурса. Организатор не вправе использовать конкурсные работы в коммерческих целях без письменного согласия участника.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11.4. В случае, если конкурсная работа создана в рамках служебного задания или с использованием ресурсов работодателя, участник гарантирует, что все необходимые согласия на участие в Конкурсе и использование работы получены от правообладателей.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12. ИСКЛЮЧЕНИЕ УЧАСТНИКОВ ИЗ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12.1. Организатор оставляет за собой право исключить участника из Конкурса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предоставление заведомо ложной информации при подаче заявки;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нарушение прав третьих лиц на результаты интеллектуальной деятельности, включая плагиат и использование чужих материалов без разрешения;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публикация материалов, содержащих призывы к насилию, экстремизму, разжиганию межнациональной или религиозной розни, а также материалов, нарушающих нормы морали и нравственности;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нарушение правил Конкурса, установленных настоящим Положением;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12"/>
        <w:numPr>
          <w:ilvl w:val="0"/>
          <w:numId w:val="183"/>
        </w:numPr>
        <w:contextualSpacing/>
        <w:ind w:right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совершение действий, которые могут нанести ущерб репутации Конкурса или Организатора.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12.2. Решение об исключении участника принимается Организатором на основании письменного заключения Экспертного совета или Наблюдательного совета Конкурса. Участник уведомляется о решении об исключении по электронной почте, указанной в заявке.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12.3. В случае исключения участника из Конкурса, все предоставленные им материалы удаляются с официального сайта Конкурса и не подлежат дальнейшему использованию Организатором.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13. ЗАКЛЮЧИТЕЛЬНЫЕ ПОЛОЖЕНИЯ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13.1. Настоящее Положение вступает в силу с момента его опубликования на официальном сайте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13.2. Все спорные вопросы, возникающие в ходе проведения Конкурса, решаются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13.3. Организатор оставляет за собой право вносить изменения в настоящее Положение с обязательным уведомлением участников через официальный сайт Конкурса не менее чем за 30 дней до вступления изменений в силу.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161616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61616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61616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61616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61616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61616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61616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61616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61616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61616"/>
        <w:sz w:val="27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7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13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7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29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3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5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77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32">
    <w:name w:val="Heading 1"/>
    <w:basedOn w:val="1308"/>
    <w:next w:val="1308"/>
    <w:link w:val="11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133">
    <w:name w:val="Heading 1 Char"/>
    <w:link w:val="1132"/>
    <w:uiPriority w:val="9"/>
    <w:rPr>
      <w:rFonts w:ascii="Arial" w:hAnsi="Arial" w:eastAsia="Arial" w:cs="Arial"/>
      <w:sz w:val="40"/>
      <w:szCs w:val="40"/>
    </w:rPr>
  </w:style>
  <w:style w:type="paragraph" w:styleId="1134">
    <w:name w:val="Heading 2"/>
    <w:basedOn w:val="1308"/>
    <w:next w:val="1308"/>
    <w:link w:val="11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135">
    <w:name w:val="Heading 2 Char"/>
    <w:link w:val="1134"/>
    <w:uiPriority w:val="9"/>
    <w:rPr>
      <w:rFonts w:ascii="Arial" w:hAnsi="Arial" w:eastAsia="Arial" w:cs="Arial"/>
      <w:sz w:val="34"/>
    </w:rPr>
  </w:style>
  <w:style w:type="paragraph" w:styleId="1136">
    <w:name w:val="Heading 3"/>
    <w:basedOn w:val="1308"/>
    <w:next w:val="1308"/>
    <w:link w:val="11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37">
    <w:name w:val="Heading 3 Char"/>
    <w:link w:val="1136"/>
    <w:uiPriority w:val="9"/>
    <w:rPr>
      <w:rFonts w:ascii="Arial" w:hAnsi="Arial" w:eastAsia="Arial" w:cs="Arial"/>
      <w:sz w:val="30"/>
      <w:szCs w:val="30"/>
    </w:rPr>
  </w:style>
  <w:style w:type="paragraph" w:styleId="1138">
    <w:name w:val="Heading 4"/>
    <w:basedOn w:val="1308"/>
    <w:next w:val="1308"/>
    <w:link w:val="11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39">
    <w:name w:val="Heading 4 Char"/>
    <w:link w:val="1138"/>
    <w:uiPriority w:val="9"/>
    <w:rPr>
      <w:rFonts w:ascii="Arial" w:hAnsi="Arial" w:eastAsia="Arial" w:cs="Arial"/>
      <w:b/>
      <w:bCs/>
      <w:sz w:val="26"/>
      <w:szCs w:val="26"/>
    </w:rPr>
  </w:style>
  <w:style w:type="paragraph" w:styleId="1140">
    <w:name w:val="Heading 5"/>
    <w:basedOn w:val="1308"/>
    <w:next w:val="1308"/>
    <w:link w:val="11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41">
    <w:name w:val="Heading 5 Char"/>
    <w:link w:val="1140"/>
    <w:uiPriority w:val="9"/>
    <w:rPr>
      <w:rFonts w:ascii="Arial" w:hAnsi="Arial" w:eastAsia="Arial" w:cs="Arial"/>
      <w:b/>
      <w:bCs/>
      <w:sz w:val="24"/>
      <w:szCs w:val="24"/>
    </w:rPr>
  </w:style>
  <w:style w:type="paragraph" w:styleId="1142">
    <w:name w:val="Heading 6"/>
    <w:basedOn w:val="1308"/>
    <w:next w:val="1308"/>
    <w:link w:val="11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43">
    <w:name w:val="Heading 6 Char"/>
    <w:link w:val="1142"/>
    <w:uiPriority w:val="9"/>
    <w:rPr>
      <w:rFonts w:ascii="Arial" w:hAnsi="Arial" w:eastAsia="Arial" w:cs="Arial"/>
      <w:b/>
      <w:bCs/>
      <w:sz w:val="22"/>
      <w:szCs w:val="22"/>
    </w:rPr>
  </w:style>
  <w:style w:type="paragraph" w:styleId="1144">
    <w:name w:val="Heading 7"/>
    <w:basedOn w:val="1308"/>
    <w:next w:val="1308"/>
    <w:link w:val="11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45">
    <w:name w:val="Heading 7 Char"/>
    <w:link w:val="11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46">
    <w:name w:val="Heading 8"/>
    <w:basedOn w:val="1308"/>
    <w:next w:val="1308"/>
    <w:link w:val="11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47">
    <w:name w:val="Heading 8 Char"/>
    <w:link w:val="1146"/>
    <w:uiPriority w:val="9"/>
    <w:rPr>
      <w:rFonts w:ascii="Arial" w:hAnsi="Arial" w:eastAsia="Arial" w:cs="Arial"/>
      <w:i/>
      <w:iCs/>
      <w:sz w:val="22"/>
      <w:szCs w:val="22"/>
    </w:rPr>
  </w:style>
  <w:style w:type="paragraph" w:styleId="1148">
    <w:name w:val="Heading 9"/>
    <w:basedOn w:val="1308"/>
    <w:next w:val="1308"/>
    <w:link w:val="11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49">
    <w:name w:val="Heading 9 Char"/>
    <w:link w:val="1148"/>
    <w:uiPriority w:val="9"/>
    <w:rPr>
      <w:rFonts w:ascii="Arial" w:hAnsi="Arial" w:eastAsia="Arial" w:cs="Arial"/>
      <w:i/>
      <w:iCs/>
      <w:sz w:val="21"/>
      <w:szCs w:val="21"/>
    </w:rPr>
  </w:style>
  <w:style w:type="paragraph" w:styleId="1150">
    <w:name w:val="Title"/>
    <w:basedOn w:val="1308"/>
    <w:next w:val="1308"/>
    <w:link w:val="11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51">
    <w:name w:val="Title Char"/>
    <w:link w:val="1150"/>
    <w:uiPriority w:val="10"/>
    <w:rPr>
      <w:sz w:val="48"/>
      <w:szCs w:val="48"/>
    </w:rPr>
  </w:style>
  <w:style w:type="paragraph" w:styleId="1152">
    <w:name w:val="Subtitle"/>
    <w:basedOn w:val="1308"/>
    <w:next w:val="1308"/>
    <w:link w:val="1153"/>
    <w:uiPriority w:val="11"/>
    <w:qFormat/>
    <w:pPr>
      <w:spacing w:before="200" w:after="200"/>
    </w:pPr>
    <w:rPr>
      <w:sz w:val="24"/>
      <w:szCs w:val="24"/>
    </w:rPr>
  </w:style>
  <w:style w:type="character" w:styleId="1153">
    <w:name w:val="Subtitle Char"/>
    <w:link w:val="1152"/>
    <w:uiPriority w:val="11"/>
    <w:rPr>
      <w:sz w:val="24"/>
      <w:szCs w:val="24"/>
    </w:rPr>
  </w:style>
  <w:style w:type="paragraph" w:styleId="1154">
    <w:name w:val="Quote"/>
    <w:basedOn w:val="1308"/>
    <w:next w:val="1308"/>
    <w:link w:val="1155"/>
    <w:uiPriority w:val="29"/>
    <w:qFormat/>
    <w:pPr>
      <w:ind w:left="720" w:right="720"/>
    </w:pPr>
    <w:rPr>
      <w:i/>
    </w:rPr>
  </w:style>
  <w:style w:type="character" w:styleId="1155">
    <w:name w:val="Quote Char"/>
    <w:link w:val="1154"/>
    <w:uiPriority w:val="29"/>
    <w:rPr>
      <w:i/>
    </w:rPr>
  </w:style>
  <w:style w:type="paragraph" w:styleId="1156">
    <w:name w:val="Intense Quote"/>
    <w:basedOn w:val="1308"/>
    <w:next w:val="1308"/>
    <w:link w:val="11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57">
    <w:name w:val="Intense Quote Char"/>
    <w:link w:val="1156"/>
    <w:uiPriority w:val="30"/>
    <w:rPr>
      <w:i/>
    </w:rPr>
  </w:style>
  <w:style w:type="paragraph" w:styleId="1158">
    <w:name w:val="Header"/>
    <w:basedOn w:val="1308"/>
    <w:link w:val="11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59">
    <w:name w:val="Header Char"/>
    <w:link w:val="1158"/>
    <w:uiPriority w:val="99"/>
  </w:style>
  <w:style w:type="paragraph" w:styleId="1160">
    <w:name w:val="Footer"/>
    <w:basedOn w:val="1308"/>
    <w:link w:val="11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61">
    <w:name w:val="Footer Char"/>
    <w:link w:val="1160"/>
    <w:uiPriority w:val="99"/>
  </w:style>
  <w:style w:type="paragraph" w:styleId="1162">
    <w:name w:val="Caption"/>
    <w:basedOn w:val="1308"/>
    <w:next w:val="13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63">
    <w:name w:val="Caption Char"/>
    <w:basedOn w:val="1162"/>
    <w:link w:val="1160"/>
    <w:uiPriority w:val="99"/>
  </w:style>
  <w:style w:type="table" w:styleId="1164">
    <w:name w:val="Table Grid"/>
    <w:basedOn w:val="13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65">
    <w:name w:val="Table Grid Light"/>
    <w:basedOn w:val="13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66">
    <w:name w:val="Plain Table 1"/>
    <w:basedOn w:val="13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67">
    <w:name w:val="Plain Table 2"/>
    <w:basedOn w:val="13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68">
    <w:name w:val="Plain Table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69">
    <w:name w:val="Plain Table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0">
    <w:name w:val="Plain Table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71">
    <w:name w:val="Grid Table 1 Light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2">
    <w:name w:val="Grid Table 1 Light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3">
    <w:name w:val="Grid Table 1 Light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4">
    <w:name w:val="Grid Table 1 Light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5">
    <w:name w:val="Grid Table 1 Light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6">
    <w:name w:val="Grid Table 1 Light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7">
    <w:name w:val="Grid Table 1 Light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8">
    <w:name w:val="Grid Table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Grid Table 2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Grid Table 2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Grid Table 2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Grid Table 2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Grid Table 2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Grid Table 2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Grid Table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6">
    <w:name w:val="Grid Table 3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7">
    <w:name w:val="Grid Table 3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8">
    <w:name w:val="Grid Table 3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9">
    <w:name w:val="Grid Table 3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0">
    <w:name w:val="Grid Table 3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>
    <w:name w:val="Grid Table 3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>
    <w:name w:val="Grid Table 4"/>
    <w:basedOn w:val="13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93">
    <w:name w:val="Grid Table 4 - Accent 1"/>
    <w:basedOn w:val="13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94">
    <w:name w:val="Grid Table 4 - Accent 2"/>
    <w:basedOn w:val="13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95">
    <w:name w:val="Grid Table 4 - Accent 3"/>
    <w:basedOn w:val="13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96">
    <w:name w:val="Grid Table 4 - Accent 4"/>
    <w:basedOn w:val="13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97">
    <w:name w:val="Grid Table 4 - Accent 5"/>
    <w:basedOn w:val="13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98">
    <w:name w:val="Grid Table 4 - Accent 6"/>
    <w:basedOn w:val="13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99">
    <w:name w:val="Grid Table 5 Dark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200">
    <w:name w:val="Grid Table 5 Dark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201">
    <w:name w:val="Grid Table 5 Dark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202">
    <w:name w:val="Grid Table 5 Dark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203">
    <w:name w:val="Grid Table 5 Dark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204">
    <w:name w:val="Grid Table 5 Dark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205">
    <w:name w:val="Grid Table 5 Dark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206">
    <w:name w:val="Grid Table 6 Colorful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207">
    <w:name w:val="Grid Table 6 Colorful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208">
    <w:name w:val="Grid Table 6 Colorful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209">
    <w:name w:val="Grid Table 6 Colorful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210">
    <w:name w:val="Grid Table 6 Colorful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211">
    <w:name w:val="Grid Table 6 Colorful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12">
    <w:name w:val="Grid Table 6 Colorful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13">
    <w:name w:val="Grid Table 7 Colorful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4">
    <w:name w:val="Grid Table 7 Colorful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5">
    <w:name w:val="Grid Table 7 Colorful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6">
    <w:name w:val="Grid Table 7 Colorful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7">
    <w:name w:val="Grid Table 7 Colorful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8">
    <w:name w:val="Grid Table 7 Colorful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9">
    <w:name w:val="Grid Table 7 Colorful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0">
    <w:name w:val="List Table 1 Light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1">
    <w:name w:val="List Table 1 Light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2">
    <w:name w:val="List Table 1 Light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3">
    <w:name w:val="List Table 1 Light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4">
    <w:name w:val="List Table 1 Light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5">
    <w:name w:val="List Table 1 Light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6">
    <w:name w:val="List Table 1 Light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7">
    <w:name w:val="List Table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228">
    <w:name w:val="List Table 2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229">
    <w:name w:val="List Table 2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230">
    <w:name w:val="List Table 2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231">
    <w:name w:val="List Table 2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32">
    <w:name w:val="List Table 2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33">
    <w:name w:val="List Table 2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34">
    <w:name w:val="List Table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5">
    <w:name w:val="List Table 3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6">
    <w:name w:val="List Table 3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7">
    <w:name w:val="List Table 3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8">
    <w:name w:val="List Table 3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9">
    <w:name w:val="List Table 3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0">
    <w:name w:val="List Table 3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1">
    <w:name w:val="List Table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2">
    <w:name w:val="List Table 4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3">
    <w:name w:val="List Table 4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4">
    <w:name w:val="List Table 4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5">
    <w:name w:val="List Table 4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6">
    <w:name w:val="List Table 4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7">
    <w:name w:val="List Table 4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8">
    <w:name w:val="List Table 5 Dark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49">
    <w:name w:val="List Table 5 Dark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50">
    <w:name w:val="List Table 5 Dark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51">
    <w:name w:val="List Table 5 Dark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52">
    <w:name w:val="List Table 5 Dark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53">
    <w:name w:val="List Table 5 Dark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54">
    <w:name w:val="List Table 5 Dark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55">
    <w:name w:val="List Table 6 Colorful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56">
    <w:name w:val="List Table 6 Colorful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57">
    <w:name w:val="List Table 6 Colorful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58">
    <w:name w:val="List Table 6 Colorful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59">
    <w:name w:val="List Table 6 Colorful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60">
    <w:name w:val="List Table 6 Colorful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61">
    <w:name w:val="List Table 6 Colorful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62">
    <w:name w:val="List Table 7 Colorful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63">
    <w:name w:val="List Table 7 Colorful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64">
    <w:name w:val="List Table 7 Colorful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65">
    <w:name w:val="List Table 7 Colorful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66">
    <w:name w:val="List Table 7 Colorful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67">
    <w:name w:val="List Table 7 Colorful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68">
    <w:name w:val="List Table 7 Colorful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69">
    <w:name w:val="Lined - Accent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70">
    <w:name w:val="Lined - Accent 1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71">
    <w:name w:val="Lined - Accent 2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72">
    <w:name w:val="Lined - Accent 3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73">
    <w:name w:val="Lined - Accent 4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74">
    <w:name w:val="Lined - Accent 5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75">
    <w:name w:val="Lined - Accent 6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76">
    <w:name w:val="Bordered &amp; Lined - Accent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77">
    <w:name w:val="Bordered &amp; Lined - Accent 1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78">
    <w:name w:val="Bordered &amp; Lined - Accent 2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279">
    <w:name w:val="Bordered &amp; Lined - Accent 3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280">
    <w:name w:val="Bordered &amp; Lined - Accent 4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281">
    <w:name w:val="Bordered &amp; Lined - Accent 5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282">
    <w:name w:val="Bordered &amp; Lined - Accent 6"/>
    <w:basedOn w:val="13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283">
    <w:name w:val="Bordered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84">
    <w:name w:val="Bordered - Accent 1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85">
    <w:name w:val="Bordered - Accent 2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86">
    <w:name w:val="Bordered - Accent 3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87">
    <w:name w:val="Bordered - Accent 4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88">
    <w:name w:val="Bordered - Accent 5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89">
    <w:name w:val="Bordered - Accent 6"/>
    <w:basedOn w:val="13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90">
    <w:name w:val="Hyperlink"/>
    <w:uiPriority w:val="99"/>
    <w:unhideWhenUsed/>
    <w:rPr>
      <w:color w:val="0000ff" w:themeColor="hyperlink"/>
      <w:u w:val="single"/>
    </w:rPr>
  </w:style>
  <w:style w:type="paragraph" w:styleId="1291">
    <w:name w:val="footnote text"/>
    <w:basedOn w:val="1308"/>
    <w:link w:val="1292"/>
    <w:uiPriority w:val="99"/>
    <w:semiHidden/>
    <w:unhideWhenUsed/>
    <w:pPr>
      <w:spacing w:after="40" w:line="240" w:lineRule="auto"/>
    </w:pPr>
    <w:rPr>
      <w:sz w:val="18"/>
    </w:rPr>
  </w:style>
  <w:style w:type="character" w:styleId="1292">
    <w:name w:val="Footnote Text Char"/>
    <w:link w:val="1291"/>
    <w:uiPriority w:val="99"/>
    <w:rPr>
      <w:sz w:val="18"/>
    </w:rPr>
  </w:style>
  <w:style w:type="character" w:styleId="1293">
    <w:name w:val="footnote reference"/>
    <w:uiPriority w:val="99"/>
    <w:unhideWhenUsed/>
    <w:rPr>
      <w:vertAlign w:val="superscript"/>
    </w:rPr>
  </w:style>
  <w:style w:type="paragraph" w:styleId="1294">
    <w:name w:val="endnote text"/>
    <w:basedOn w:val="1308"/>
    <w:link w:val="1295"/>
    <w:uiPriority w:val="99"/>
    <w:semiHidden/>
    <w:unhideWhenUsed/>
    <w:pPr>
      <w:spacing w:after="0" w:line="240" w:lineRule="auto"/>
    </w:pPr>
    <w:rPr>
      <w:sz w:val="20"/>
    </w:rPr>
  </w:style>
  <w:style w:type="character" w:styleId="1295">
    <w:name w:val="Endnote Text Char"/>
    <w:link w:val="1294"/>
    <w:uiPriority w:val="99"/>
    <w:rPr>
      <w:sz w:val="20"/>
    </w:rPr>
  </w:style>
  <w:style w:type="character" w:styleId="1296">
    <w:name w:val="endnote reference"/>
    <w:uiPriority w:val="99"/>
    <w:semiHidden/>
    <w:unhideWhenUsed/>
    <w:rPr>
      <w:vertAlign w:val="superscript"/>
    </w:rPr>
  </w:style>
  <w:style w:type="paragraph" w:styleId="1297">
    <w:name w:val="toc 1"/>
    <w:basedOn w:val="1308"/>
    <w:next w:val="1308"/>
    <w:uiPriority w:val="39"/>
    <w:unhideWhenUsed/>
    <w:pPr>
      <w:ind w:left="0" w:right="0" w:firstLine="0"/>
      <w:spacing w:after="57"/>
    </w:pPr>
  </w:style>
  <w:style w:type="paragraph" w:styleId="1298">
    <w:name w:val="toc 2"/>
    <w:basedOn w:val="1308"/>
    <w:next w:val="1308"/>
    <w:uiPriority w:val="39"/>
    <w:unhideWhenUsed/>
    <w:pPr>
      <w:ind w:left="283" w:right="0" w:firstLine="0"/>
      <w:spacing w:after="57"/>
    </w:pPr>
  </w:style>
  <w:style w:type="paragraph" w:styleId="1299">
    <w:name w:val="toc 3"/>
    <w:basedOn w:val="1308"/>
    <w:next w:val="1308"/>
    <w:uiPriority w:val="39"/>
    <w:unhideWhenUsed/>
    <w:pPr>
      <w:ind w:left="567" w:right="0" w:firstLine="0"/>
      <w:spacing w:after="57"/>
    </w:pPr>
  </w:style>
  <w:style w:type="paragraph" w:styleId="1300">
    <w:name w:val="toc 4"/>
    <w:basedOn w:val="1308"/>
    <w:next w:val="1308"/>
    <w:uiPriority w:val="39"/>
    <w:unhideWhenUsed/>
    <w:pPr>
      <w:ind w:left="850" w:right="0" w:firstLine="0"/>
      <w:spacing w:after="57"/>
    </w:pPr>
  </w:style>
  <w:style w:type="paragraph" w:styleId="1301">
    <w:name w:val="toc 5"/>
    <w:basedOn w:val="1308"/>
    <w:next w:val="1308"/>
    <w:uiPriority w:val="39"/>
    <w:unhideWhenUsed/>
    <w:pPr>
      <w:ind w:left="1134" w:right="0" w:firstLine="0"/>
      <w:spacing w:after="57"/>
    </w:pPr>
  </w:style>
  <w:style w:type="paragraph" w:styleId="1302">
    <w:name w:val="toc 6"/>
    <w:basedOn w:val="1308"/>
    <w:next w:val="1308"/>
    <w:uiPriority w:val="39"/>
    <w:unhideWhenUsed/>
    <w:pPr>
      <w:ind w:left="1417" w:right="0" w:firstLine="0"/>
      <w:spacing w:after="57"/>
    </w:pPr>
  </w:style>
  <w:style w:type="paragraph" w:styleId="1303">
    <w:name w:val="toc 7"/>
    <w:basedOn w:val="1308"/>
    <w:next w:val="1308"/>
    <w:uiPriority w:val="39"/>
    <w:unhideWhenUsed/>
    <w:pPr>
      <w:ind w:left="1701" w:right="0" w:firstLine="0"/>
      <w:spacing w:after="57"/>
    </w:pPr>
  </w:style>
  <w:style w:type="paragraph" w:styleId="1304">
    <w:name w:val="toc 8"/>
    <w:basedOn w:val="1308"/>
    <w:next w:val="1308"/>
    <w:uiPriority w:val="39"/>
    <w:unhideWhenUsed/>
    <w:pPr>
      <w:ind w:left="1984" w:right="0" w:firstLine="0"/>
      <w:spacing w:after="57"/>
    </w:pPr>
  </w:style>
  <w:style w:type="paragraph" w:styleId="1305">
    <w:name w:val="toc 9"/>
    <w:basedOn w:val="1308"/>
    <w:next w:val="1308"/>
    <w:uiPriority w:val="39"/>
    <w:unhideWhenUsed/>
    <w:pPr>
      <w:ind w:left="2268" w:right="0" w:firstLine="0"/>
      <w:spacing w:after="57"/>
    </w:pPr>
  </w:style>
  <w:style w:type="paragraph" w:styleId="1306">
    <w:name w:val="TOC Heading"/>
    <w:uiPriority w:val="39"/>
    <w:unhideWhenUsed/>
  </w:style>
  <w:style w:type="paragraph" w:styleId="1307">
    <w:name w:val="table of figures"/>
    <w:basedOn w:val="1308"/>
    <w:next w:val="1308"/>
    <w:uiPriority w:val="99"/>
    <w:unhideWhenUsed/>
    <w:pPr>
      <w:spacing w:after="0" w:afterAutospacing="0"/>
    </w:pPr>
  </w:style>
  <w:style w:type="paragraph" w:styleId="1308" w:default="1">
    <w:name w:val="Normal"/>
    <w:qFormat/>
  </w:style>
  <w:style w:type="table" w:styleId="13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10" w:default="1">
    <w:name w:val="No List"/>
    <w:uiPriority w:val="99"/>
    <w:semiHidden/>
    <w:unhideWhenUsed/>
  </w:style>
  <w:style w:type="paragraph" w:styleId="1311">
    <w:name w:val="No Spacing"/>
    <w:basedOn w:val="1308"/>
    <w:uiPriority w:val="1"/>
    <w:qFormat/>
    <w:pPr>
      <w:spacing w:after="0" w:line="240" w:lineRule="auto"/>
    </w:pPr>
  </w:style>
  <w:style w:type="paragraph" w:styleId="1312">
    <w:name w:val="List Paragraph"/>
    <w:basedOn w:val="1308"/>
    <w:uiPriority w:val="34"/>
    <w:qFormat/>
    <w:pPr>
      <w:contextualSpacing/>
      <w:ind w:left="720"/>
    </w:pPr>
  </w:style>
  <w:style w:type="character" w:styleId="1313" w:default="1">
    <w:name w:val="Default Paragraph Font"/>
    <w:uiPriority w:val="1"/>
    <w:semiHidden/>
    <w:unhideWhenUsed/>
  </w:style>
  <w:style w:type="paragraph" w:styleId="1314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0"/>
      <w:szCs w:val="1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oskachestvo.gov.ru/q-leade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2025-03-17T12:06:35Z</dcterms:modified>
</cp:coreProperties>
</file>