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66"/>
        <w:jc w:val="center"/>
        <w:spacing w:after="0" w:line="252" w:lineRule="auto"/>
        <w:widowControl w:val="off"/>
        <w:tabs>
          <w:tab w:val="left" w:pos="923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2179320" cy="861060"/>
                <wp:effectExtent l="0" t="0" r="0" b="0"/>
                <wp:wrapNone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159845" name="Рисунок 1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0" r="64063" b="91812"/>
                        <a:stretch/>
                      </pic:blipFill>
                      <pic:spPr bwMode="auto">
                        <a:xfrm rot="0" flipH="0" flipV="0">
                          <a:off x="0" y="0"/>
                          <a:ext cx="2179319" cy="861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4656;o:allowoverlap:true;o:allowincell:true;mso-position-horizontal-relative:text;margin-left:-5.85pt;mso-position-horizontal:absolute;mso-position-vertical-relative:text;margin-top:0.00pt;mso-position-vertical:absolute;width:171.60pt;height:67.80pt;mso-wrap-distance-left:2.88pt;mso-wrap-distance-top:2.88pt;mso-wrap-distance-right:2.88pt;mso-wrap-distance-bottom:2.88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241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 ПО СЕРТИФИКАЦИИ </w:t>
      </w:r>
      <w:r>
        <w:rPr>
          <w:rFonts w:ascii="Times New Roman" w:hAnsi="Times New Roman" w:cs="Times New Roman"/>
          <w:sz w:val="20"/>
          <w:szCs w:val="20"/>
        </w:rPr>
        <w:br/>
        <w:t xml:space="preserve">АВТОНОМНОЙ НЕКОММЕРЧЕСКОЙ ОРГАНИЗАЦИИ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«РОССИЙСКАЯ СИСТЕМА КАЧЕСТВА»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аккредитации № RA.RU.120009 </w:t>
      </w:r>
      <w:r>
        <w:rPr>
          <w:rFonts w:ascii="Times New Roman" w:hAnsi="Times New Roman" w:cs="Times New Roman"/>
          <w:sz w:val="20"/>
          <w:szCs w:val="20"/>
        </w:rPr>
        <w:br/>
        <w:t xml:space="preserve">Федеральной службой по аккредитации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119071, Россия, г. Москва, ул. Орджоникидзе, д. 12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hyperlink r:id="rId10" w:tooltip="https://roskachestvo.gov.ru/" w:history="1">
        <w:r>
          <w:rPr>
            <w:rStyle w:val="174"/>
            <w:rFonts w:ascii="Times New Roman" w:hAnsi="Times New Roman" w:cs="Times New Roman"/>
            <w:sz w:val="20"/>
            <w:szCs w:val="20"/>
          </w:rPr>
          <w:t xml:space="preserve">https://roskachestvo.gov.ru/</w:t>
        </w:r>
      </w:hyperlink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  <w:r/>
      <w:r/>
      <w:r>
        <w:rPr>
          <w:rFonts w:ascii="Times New Roman" w:hAnsi="Times New Roman" w:cs="Times New Roman"/>
          <w:sz w:val="20"/>
          <w:szCs w:val="20"/>
        </w:rPr>
      </w:r>
    </w:p>
    <w:p>
      <w:pPr>
        <w:ind w:right="566"/>
        <w:jc w:val="center"/>
        <w:spacing w:after="0" w:line="252" w:lineRule="auto"/>
        <w:widowControl w:val="off"/>
        <w:tabs>
          <w:tab w:val="left" w:pos="923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right="566"/>
        <w:jc w:val="center"/>
        <w:spacing w:after="0" w:line="252" w:lineRule="auto"/>
        <w:widowControl w:val="off"/>
        <w:tabs>
          <w:tab w:val="left" w:pos="923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нформация, необходимая для проведения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сертификации объекта-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офиса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right="566"/>
        <w:jc w:val="center"/>
        <w:spacing w:after="0" w:line="252" w:lineRule="auto"/>
        <w:widowControl w:val="off"/>
        <w:tabs>
          <w:tab w:val="left" w:pos="923" w:leader="none"/>
        </w:tabs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СДС РЭО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Зеленый офис»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r>
    </w:p>
    <w:p>
      <w:pPr>
        <w:ind w:right="566"/>
        <w:jc w:val="center"/>
        <w:spacing w:after="0" w:line="252" w:lineRule="auto"/>
        <w:widowControl w:val="off"/>
        <w:tabs>
          <w:tab w:val="left" w:pos="923" w:leader="none"/>
        </w:tabs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spacing w:val="2"/>
          <w:sz w:val="24"/>
          <w:szCs w:val="24"/>
          <w:highlight w:val="none"/>
          <w:u w:val="single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выписки из Единого государственного реестра юридических лиц;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учредительных документов заявителя (Устав в действующей редакции со всеми изменениями и дополнениями);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свидетельства о внесении заявителя в Единый государственный реестр юридических лиц;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свидетельства о постановке заявителя на учет в налоговых органах Российской Федерации в качестве налогоплательщика;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Приказы о назначении руководителей организации;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6"/>
        </w:numPr>
        <w:ind w:left="0" w:firstLine="349"/>
        <w:jc w:val="both"/>
        <w:spacing w:line="240" w:lineRule="auto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Данные о численности сотрудников заявителя (штатных, внештатных);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документов, подтверждающих наличие у заявителя, принадлежащего ему на праве собственности или ином законном основании объекта недвижимости;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Технический паспорт объекта недвижимости;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договора на проведение специальной оценки условий труда (далее- СОУТ);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Документы, прилагаемые или являющиеся частью отчета о результатах 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проведения СОУТ;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Акт об оказании услуг по договору о проведении СОУТ;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договора на проведение лабораторных исследований качества воздуха рабочей зоны аккредитованными лабораториями; 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Акт об оказании услуг по договору на проведение лабораторных исследований качества воздуха рабочей зоны аккредитованными лабораториями;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2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Протоколы лабораторных исследований в соответствии с СанПиН 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1.2.3685-21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 «Гигиенический нормативы и требования к обеспечению безопасности и (или) безвредности для человека факторов среды обитания»;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инвентаризационной описи товарно-материальных ценностей;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договоров купли-продажи/ договоров поставки офисных товаров и техники;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актов о приёмке офисных товаров и техники;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Техническая документация/спецификации, руководства по эксплуатации всего офисного оборудования, программных продуктов;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документов, подтверждающих наличие у заявителя принадлежащих на праве собственности или ином законном основании оборудования для сбора отработанных химических источников тока;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документов, подтверждающих наличие у заявителя принадлежащих на праве собственности или ином законном основании автомата для приема пустой тары (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фандомата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);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3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договора на оказание услуг по вывозу отходов с организацией, имеющей лицензию на обращение с отходами производства и потребления;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3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Копия актов об оказании услуг по вывозу отходов;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4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Копии документов, подтверждающих наличие у заявителя принадлежащих на праве собственности или ином законном основании специализированного оборудования для раздельного накопления отходов;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621"/>
        <w:numPr>
          <w:ilvl w:val="0"/>
          <w:numId w:val="4"/>
        </w:numPr>
        <w:ind w:left="0" w:firstLine="349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eastAsia="Times New Roman"/>
          <w:spacing w:val="2"/>
          <w:sz w:val="24"/>
          <w:szCs w:val="24"/>
        </w:rPr>
        <w:t xml:space="preserve">Ко</w:t>
      </w:r>
      <w:r>
        <w:rPr>
          <w:rFonts w:ascii="Times New Roman" w:hAnsi="Times New Roman" w:eastAsia="Times New Roman"/>
          <w:spacing w:val="2"/>
          <w:sz w:val="24"/>
          <w:szCs w:val="24"/>
        </w:rPr>
        <w:t xml:space="preserve">пии локальных нормативных актов и организационно- распорядительных документов организации, подтверждающие ведение внутрикорпоративной политики, направленной на сохранение ресурсов окружающей среды, экологически-ответственное поведение сотрудников компании.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kachest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2024-09-16T12:19:03Z</dcterms:modified>
</cp:coreProperties>
</file>