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EB" w:rsidRPr="00D43FFB" w:rsidRDefault="002226EB" w:rsidP="002226EB">
      <w:pPr>
        <w:spacing w:before="360" w:after="80"/>
        <w:ind w:firstLine="0"/>
        <w:jc w:val="center"/>
      </w:pPr>
      <w:bookmarkStart w:id="0" w:name="_GoBack"/>
      <w:r>
        <w:rPr>
          <w:b/>
        </w:rPr>
        <w:t>ТЕХНИЧЕСКОЕ ЗАДАНИЕ</w:t>
      </w:r>
      <w:r w:rsidRPr="00642EB9">
        <w:rPr>
          <w:b/>
        </w:rPr>
        <w:t xml:space="preserve"> </w:t>
      </w:r>
      <w:r w:rsidRPr="00642EB9">
        <w:rPr>
          <w:b/>
        </w:rPr>
        <w:br/>
      </w:r>
      <w:r w:rsidRPr="0091483D">
        <w:t>на изготовление и монтаж фасадной рекламной конструкции</w:t>
      </w:r>
      <w:r>
        <w:br/>
      </w:r>
      <w:r w:rsidRPr="0091483D">
        <w:t>(вывески) «Знак качества»</w:t>
      </w:r>
    </w:p>
    <w:bookmarkEnd w:id="0"/>
    <w:p w:rsidR="002226EB" w:rsidRPr="00D43FFB" w:rsidRDefault="002226EB" w:rsidP="002226EB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 w:rsidRPr="00D43FFB">
        <w:rPr>
          <w:b/>
        </w:rPr>
        <w:t>Содержание услуг</w:t>
      </w:r>
    </w:p>
    <w:p w:rsidR="002226EB" w:rsidRPr="00D43FFB" w:rsidRDefault="002226EB" w:rsidP="002226EB">
      <w:pPr>
        <w:pStyle w:val="a4"/>
        <w:spacing w:before="80" w:after="120"/>
        <w:ind w:left="360" w:firstLine="0"/>
        <w:contextualSpacing w:val="0"/>
      </w:pPr>
      <w:r>
        <w:t>Предложение по</w:t>
      </w:r>
      <w:r w:rsidRPr="009E1D1C">
        <w:t xml:space="preserve"> изготовлени</w:t>
      </w:r>
      <w:r>
        <w:t>ю</w:t>
      </w:r>
      <w:r w:rsidRPr="009E1D1C">
        <w:t xml:space="preserve"> и монтаж</w:t>
      </w:r>
      <w:r>
        <w:t>у</w:t>
      </w:r>
      <w:r w:rsidRPr="009E1D1C">
        <w:t xml:space="preserve"> фасадной рекламной конструкции (вывески) «Знак качества»</w:t>
      </w:r>
      <w:r w:rsidRPr="00D43FFB">
        <w:t xml:space="preserve"> </w:t>
      </w:r>
      <w:r>
        <w:t>должна предусматривать</w:t>
      </w:r>
      <w:r w:rsidRPr="00D43FFB">
        <w:t>, но не ограничива</w:t>
      </w:r>
      <w:r>
        <w:t>ться</w:t>
      </w:r>
      <w:r w:rsidRPr="00D43FFB">
        <w:t xml:space="preserve"> следующим:</w:t>
      </w:r>
    </w:p>
    <w:p w:rsidR="002226E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bookmarkStart w:id="1" w:name="_Hlk9256288"/>
      <w:r>
        <w:t>Подготовка и согласование проектной документации</w:t>
      </w:r>
      <w:r w:rsidRPr="00D43FFB">
        <w:t>;</w:t>
      </w:r>
    </w:p>
    <w:p w:rsidR="002226E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>
        <w:t xml:space="preserve">Изготовление </w:t>
      </w:r>
      <w:r w:rsidRPr="009E1D1C">
        <w:t>фасадной рекламной конструкции (вывески) «Знак качества»</w:t>
      </w:r>
      <w:r>
        <w:t>;</w:t>
      </w:r>
    </w:p>
    <w:p w:rsidR="002226E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>
        <w:t xml:space="preserve">Монтаж </w:t>
      </w:r>
      <w:r w:rsidRPr="009E1D1C">
        <w:t>фасадной рекламной конструкции (вывески) «Знак качества»</w:t>
      </w:r>
      <w:r>
        <w:t>;</w:t>
      </w:r>
    </w:p>
    <w:p w:rsidR="002226EB" w:rsidRPr="00D43FF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>
        <w:t xml:space="preserve">Гарантийное обслуживание конструкции. </w:t>
      </w:r>
      <w:r w:rsidRPr="006F686D">
        <w:t>Конкурсное предложение должно включать срок и условия гарантийного обслуживания.</w:t>
      </w:r>
    </w:p>
    <w:bookmarkEnd w:id="1"/>
    <w:p w:rsidR="002226EB" w:rsidRPr="00D43FFB" w:rsidRDefault="002226EB" w:rsidP="002226EB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>
        <w:rPr>
          <w:b/>
        </w:rPr>
        <w:t>Предметное описание</w:t>
      </w:r>
    </w:p>
    <w:p w:rsidR="002226EB" w:rsidRPr="00C878CB" w:rsidRDefault="002226EB" w:rsidP="002226EB">
      <w:pPr>
        <w:spacing w:before="80" w:after="120"/>
        <w:ind w:left="360" w:firstLine="0"/>
        <w:rPr>
          <w:b/>
          <w:bCs/>
        </w:rPr>
      </w:pPr>
      <w:r w:rsidRPr="00C878CB">
        <w:rPr>
          <w:b/>
          <w:bCs/>
        </w:rPr>
        <w:t>Размещение</w:t>
      </w:r>
    </w:p>
    <w:p w:rsidR="002226EB" w:rsidRPr="00C878C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 w:rsidRPr="00C878CB">
        <w:t>Адрес размещения вывески: г. Москва, улица Орджоникидзе, 12с4 (этажность здания — 6 этажей).</w:t>
      </w:r>
    </w:p>
    <w:p w:rsidR="002226E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 w:rsidRPr="00C878CB">
        <w:t>Место размещения: правый верхний угол (</w:t>
      </w:r>
      <w:r>
        <w:t xml:space="preserve">уровень </w:t>
      </w:r>
      <w:r w:rsidRPr="00C878CB">
        <w:t>фриз</w:t>
      </w:r>
      <w:r>
        <w:t>а</w:t>
      </w:r>
      <w:r w:rsidRPr="00C878CB">
        <w:t>) здания (фасад/правая сторона), расстояние от крыши — минимальное с учетом необходимых технологических отступов для надежной установки анкерных креплений</w:t>
      </w:r>
      <w:r>
        <w:t>.</w:t>
      </w:r>
    </w:p>
    <w:tbl>
      <w:tblPr>
        <w:tblStyle w:val="a3"/>
        <w:tblW w:w="4094" w:type="pc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  <w:rPr>
                <w:i/>
                <w:iCs/>
              </w:rPr>
            </w:pPr>
            <w:r w:rsidRPr="00C878CB">
              <w:rPr>
                <w:i/>
                <w:iCs/>
              </w:rPr>
              <w:t>Угол здания со стороны фасада. Длина сплошной кирпичной кладки правого руста – 4,5 м</w:t>
            </w:r>
            <w:r w:rsidRPr="008D1B4A">
              <w:rPr>
                <w:i/>
                <w:iCs/>
              </w:rPr>
              <w:t>:</w:t>
            </w:r>
          </w:p>
        </w:tc>
      </w:tr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</w:pPr>
            <w:r w:rsidRPr="00C878CB">
              <w:rPr>
                <w:noProof/>
              </w:rPr>
              <w:drawing>
                <wp:inline distT="0" distB="0" distL="0" distR="0" wp14:anchorId="2ECEAAA8" wp14:editId="4975AA00">
                  <wp:extent cx="4320000" cy="2428266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</w:pPr>
          </w:p>
        </w:tc>
      </w:tr>
    </w:tbl>
    <w:p w:rsidR="002226EB" w:rsidRDefault="002226EB" w:rsidP="002226EB">
      <w:r>
        <w:br w:type="page"/>
      </w:r>
    </w:p>
    <w:tbl>
      <w:tblPr>
        <w:tblStyle w:val="a3"/>
        <w:tblW w:w="4094" w:type="pc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  <w:rPr>
                <w:i/>
                <w:iCs/>
              </w:rPr>
            </w:pPr>
            <w:r w:rsidRPr="00C878CB">
              <w:rPr>
                <w:i/>
                <w:iCs/>
              </w:rPr>
              <w:lastRenderedPageBreak/>
              <w:t>Угол здания, правая сторона:</w:t>
            </w:r>
          </w:p>
        </w:tc>
      </w:tr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</w:pPr>
            <w:r w:rsidRPr="00C878CB">
              <w:rPr>
                <w:noProof/>
              </w:rPr>
              <w:drawing>
                <wp:inline distT="0" distB="0" distL="0" distR="0" wp14:anchorId="420799F7" wp14:editId="38AA7C03">
                  <wp:extent cx="4320000" cy="2428266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42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  <w:rPr>
                <w:i/>
                <w:iCs/>
              </w:rPr>
            </w:pPr>
            <w:r w:rsidRPr="00C878CB">
              <w:rPr>
                <w:i/>
                <w:iCs/>
              </w:rPr>
              <w:t>Эскиз вывески по месту размещения:</w:t>
            </w:r>
          </w:p>
        </w:tc>
      </w:tr>
      <w:tr w:rsidR="002226EB" w:rsidRPr="00C878CB" w:rsidTr="00DC66C4">
        <w:tc>
          <w:tcPr>
            <w:tcW w:w="5000" w:type="pct"/>
            <w:tcMar>
              <w:top w:w="85" w:type="dxa"/>
              <w:bottom w:w="85" w:type="dxa"/>
            </w:tcMar>
          </w:tcPr>
          <w:p w:rsidR="002226EB" w:rsidRPr="00C878CB" w:rsidRDefault="002226EB" w:rsidP="00DC66C4">
            <w:pPr>
              <w:spacing w:before="80" w:after="120"/>
              <w:ind w:left="360" w:firstLine="0"/>
            </w:pPr>
            <w:r w:rsidRPr="00C878CB">
              <w:rPr>
                <w:noProof/>
              </w:rPr>
              <w:drawing>
                <wp:inline distT="0" distB="0" distL="0" distR="0" wp14:anchorId="7F644C6A" wp14:editId="45D469BB">
                  <wp:extent cx="4320000" cy="2896941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89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6EB" w:rsidRPr="00C878CB" w:rsidRDefault="002226EB" w:rsidP="002226EB">
      <w:pPr>
        <w:spacing w:before="80" w:after="120"/>
        <w:ind w:left="360" w:firstLine="0"/>
        <w:rPr>
          <w:b/>
          <w:bCs/>
        </w:rPr>
      </w:pPr>
      <w:r>
        <w:rPr>
          <w:b/>
          <w:bCs/>
        </w:rPr>
        <w:t>Конструкция</w:t>
      </w:r>
    </w:p>
    <w:p w:rsidR="002226EB" w:rsidRPr="00C878C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 w:rsidRPr="00C878CB">
        <w:t>Конструкция вывески: две одинаковых квадратных панели фирменного красного цвета с размером стороны не менее 4 000 мм и не более 4 500 мм на каждой стороне угла здания. Размер логотипа в белом цвете 3 000 мм.</w:t>
      </w:r>
    </w:p>
    <w:p w:rsidR="002226EB" w:rsidRPr="00C878CB" w:rsidRDefault="002226EB" w:rsidP="002226EB">
      <w:pPr>
        <w:pStyle w:val="a4"/>
        <w:numPr>
          <w:ilvl w:val="0"/>
          <w:numId w:val="2"/>
        </w:numPr>
        <w:spacing w:before="80" w:after="120"/>
        <w:contextualSpacing w:val="0"/>
        <w:jc w:val="left"/>
      </w:pPr>
      <w:r w:rsidRPr="00C878CB">
        <w:t xml:space="preserve">Вывеска должна быть выполнена с учетом хорошей видимости в дневное и темное время суток — должна иметь внутреннюю подсветку. </w:t>
      </w:r>
    </w:p>
    <w:p w:rsidR="002226EB" w:rsidRPr="00D43FFB" w:rsidRDefault="002226EB" w:rsidP="002226EB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 w:rsidRPr="00D43FFB">
        <w:rPr>
          <w:b/>
        </w:rPr>
        <w:t>Основные требования к оказанию услуг</w:t>
      </w:r>
    </w:p>
    <w:p w:rsidR="002226E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>
        <w:t>Технические требования по конструкции и дизайну</w:t>
      </w:r>
    </w:p>
    <w:p w:rsidR="002226EB" w:rsidRPr="00460239" w:rsidRDefault="002226EB" w:rsidP="002226EB">
      <w:pPr>
        <w:pStyle w:val="a4"/>
        <w:spacing w:before="240" w:after="120"/>
        <w:ind w:left="868" w:firstLine="0"/>
        <w:contextualSpacing w:val="0"/>
        <w:rPr>
          <w:b/>
          <w:bCs/>
        </w:rPr>
      </w:pPr>
      <w:r w:rsidRPr="00460239">
        <w:rPr>
          <w:b/>
          <w:bCs/>
        </w:rPr>
        <w:t>Лицевая панель: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t>Материал – композитный материал;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lastRenderedPageBreak/>
        <w:t>Окраска – атмосферостойкая эмаль с УФ защитой. Грунт, окраска в два слоя;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t xml:space="preserve">Фоновый цвет – красный </w:t>
      </w:r>
      <w:r w:rsidRPr="00667C02">
        <w:rPr>
          <w:b/>
          <w:bCs/>
          <w:lang w:val="en-US"/>
        </w:rPr>
        <w:t>Pantone</w:t>
      </w:r>
      <w:r w:rsidRPr="00667C02">
        <w:rPr>
          <w:b/>
          <w:bCs/>
        </w:rPr>
        <w:t xml:space="preserve"> 485 </w:t>
      </w:r>
      <w:r w:rsidRPr="00667C02">
        <w:rPr>
          <w:b/>
          <w:bCs/>
          <w:lang w:val="en-US"/>
        </w:rPr>
        <w:t>C</w:t>
      </w:r>
      <w:r w:rsidRPr="00667C02">
        <w:t xml:space="preserve">, </w:t>
      </w:r>
      <w:r w:rsidRPr="00667C02">
        <w:rPr>
          <w:b/>
          <w:bCs/>
          <w:lang w:val="en-US"/>
        </w:rPr>
        <w:t>C</w:t>
      </w:r>
      <w:r>
        <w:rPr>
          <w:b/>
          <w:bCs/>
        </w:rPr>
        <w:t>0</w:t>
      </w:r>
      <w:r w:rsidRPr="00667C02">
        <w:rPr>
          <w:b/>
          <w:bCs/>
        </w:rPr>
        <w:t xml:space="preserve"> </w:t>
      </w:r>
      <w:r w:rsidRPr="00667C02">
        <w:rPr>
          <w:b/>
          <w:bCs/>
          <w:lang w:val="en-US"/>
        </w:rPr>
        <w:t>M</w:t>
      </w:r>
      <w:r w:rsidRPr="00667C02">
        <w:rPr>
          <w:b/>
          <w:bCs/>
        </w:rPr>
        <w:t>9</w:t>
      </w:r>
      <w:r>
        <w:rPr>
          <w:b/>
          <w:bCs/>
        </w:rPr>
        <w:t>5</w:t>
      </w:r>
      <w:r w:rsidRPr="00667C02">
        <w:rPr>
          <w:b/>
          <w:bCs/>
        </w:rPr>
        <w:t xml:space="preserve"> </w:t>
      </w:r>
      <w:r w:rsidRPr="00667C02">
        <w:rPr>
          <w:b/>
          <w:bCs/>
          <w:lang w:val="en-US"/>
        </w:rPr>
        <w:t>Y</w:t>
      </w:r>
      <w:r w:rsidRPr="00667C02">
        <w:rPr>
          <w:b/>
          <w:bCs/>
        </w:rPr>
        <w:t xml:space="preserve">100 </w:t>
      </w:r>
      <w:r w:rsidRPr="00667C02">
        <w:rPr>
          <w:b/>
          <w:bCs/>
          <w:lang w:val="en-US"/>
        </w:rPr>
        <w:t>K</w:t>
      </w:r>
      <w:r w:rsidRPr="00667C02">
        <w:rPr>
          <w:b/>
          <w:bCs/>
        </w:rPr>
        <w:t>0</w:t>
      </w:r>
      <w:r w:rsidRPr="00667C02">
        <w:t xml:space="preserve">, </w:t>
      </w:r>
      <w:r w:rsidRPr="00667C02">
        <w:rPr>
          <w:b/>
          <w:bCs/>
        </w:rPr>
        <w:t>R</w:t>
      </w:r>
      <w:r>
        <w:rPr>
          <w:b/>
          <w:bCs/>
        </w:rPr>
        <w:t>218</w:t>
      </w:r>
      <w:r w:rsidRPr="00667C02">
        <w:rPr>
          <w:b/>
          <w:bCs/>
        </w:rPr>
        <w:t xml:space="preserve"> G</w:t>
      </w:r>
      <w:r>
        <w:rPr>
          <w:b/>
          <w:bCs/>
        </w:rPr>
        <w:t>41</w:t>
      </w:r>
      <w:r w:rsidRPr="00667C02">
        <w:rPr>
          <w:b/>
          <w:bCs/>
        </w:rPr>
        <w:t xml:space="preserve"> B</w:t>
      </w:r>
      <w:r>
        <w:rPr>
          <w:b/>
          <w:bCs/>
        </w:rPr>
        <w:t>2</w:t>
      </w:r>
      <w:r w:rsidRPr="00667C02">
        <w:rPr>
          <w:b/>
          <w:bCs/>
        </w:rPr>
        <w:t>8</w:t>
      </w:r>
      <w:r w:rsidRPr="00667C02">
        <w:t>.</w:t>
      </w:r>
    </w:p>
    <w:p w:rsidR="002226EB" w:rsidRPr="00667C02" w:rsidRDefault="002226EB" w:rsidP="002226EB">
      <w:pPr>
        <w:pStyle w:val="a4"/>
        <w:spacing w:before="240" w:after="120"/>
        <w:ind w:left="868" w:firstLine="0"/>
        <w:contextualSpacing w:val="0"/>
        <w:rPr>
          <w:b/>
          <w:bCs/>
        </w:rPr>
      </w:pPr>
      <w:r w:rsidRPr="00667C02">
        <w:rPr>
          <w:b/>
          <w:bCs/>
        </w:rPr>
        <w:t>Графические элементы (логотип) с подсветкой: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t>Световая графика (логотип Знака качества) — с внутренней подсветкой белого свечения;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t>Цвет/подсветка: стандартный белый:</w:t>
      </w:r>
    </w:p>
    <w:p w:rsidR="002226EB" w:rsidRPr="00667C02" w:rsidRDefault="002226EB" w:rsidP="002226EB">
      <w:pPr>
        <w:pStyle w:val="a4"/>
        <w:numPr>
          <w:ilvl w:val="1"/>
          <w:numId w:val="4"/>
        </w:numPr>
        <w:spacing w:before="40" w:after="80"/>
        <w:ind w:left="1701" w:hanging="357"/>
        <w:contextualSpacing w:val="0"/>
      </w:pPr>
      <w:r w:rsidRPr="00667C02">
        <w:t xml:space="preserve">Яркость не менее 45 </w:t>
      </w:r>
      <w:proofErr w:type="spellStart"/>
      <w:r w:rsidRPr="00667C02">
        <w:t>люм</w:t>
      </w:r>
      <w:proofErr w:type="spellEnd"/>
      <w:r w:rsidRPr="00667C02">
        <w:t>.</w:t>
      </w:r>
    </w:p>
    <w:p w:rsidR="002226EB" w:rsidRPr="00667C02" w:rsidRDefault="002226EB" w:rsidP="002226EB">
      <w:pPr>
        <w:pStyle w:val="a4"/>
        <w:numPr>
          <w:ilvl w:val="1"/>
          <w:numId w:val="4"/>
        </w:numPr>
        <w:spacing w:before="40" w:after="80"/>
        <w:ind w:left="1701" w:hanging="357"/>
        <w:contextualSpacing w:val="0"/>
      </w:pPr>
      <w:r w:rsidRPr="00667C02">
        <w:t>Угол рассеивания не менее 110º.</w:t>
      </w:r>
    </w:p>
    <w:p w:rsidR="002226EB" w:rsidRPr="00667C02" w:rsidRDefault="002226EB" w:rsidP="002226EB">
      <w:pPr>
        <w:pStyle w:val="a4"/>
        <w:numPr>
          <w:ilvl w:val="1"/>
          <w:numId w:val="4"/>
        </w:numPr>
        <w:spacing w:before="40" w:after="80"/>
        <w:ind w:left="1701" w:hanging="357"/>
        <w:contextualSpacing w:val="0"/>
      </w:pPr>
      <w:r w:rsidRPr="00667C02">
        <w:t>Потребляемая мощность одного кластера 1 Вт.</w:t>
      </w:r>
    </w:p>
    <w:p w:rsidR="002226EB" w:rsidRPr="00667C02" w:rsidRDefault="002226EB" w:rsidP="002226EB">
      <w:pPr>
        <w:pStyle w:val="a4"/>
        <w:numPr>
          <w:ilvl w:val="1"/>
          <w:numId w:val="4"/>
        </w:numPr>
        <w:spacing w:before="40" w:after="80"/>
        <w:ind w:left="1701" w:hanging="357"/>
        <w:contextualSpacing w:val="0"/>
      </w:pPr>
      <w:r w:rsidRPr="00667C02">
        <w:t>Степень защиты светодиодного кластера и блока питания – не менее IP 65.</w:t>
      </w:r>
    </w:p>
    <w:p w:rsidR="002226EB" w:rsidRPr="00667C02" w:rsidRDefault="002226EB" w:rsidP="002226EB">
      <w:pPr>
        <w:pStyle w:val="a4"/>
        <w:numPr>
          <w:ilvl w:val="1"/>
          <w:numId w:val="4"/>
        </w:numPr>
        <w:spacing w:before="40" w:after="80"/>
        <w:ind w:left="1701" w:hanging="357"/>
        <w:contextualSpacing w:val="0"/>
      </w:pPr>
      <w:r w:rsidRPr="00667C02">
        <w:t>Блоки питания и комплектующие импортного производства.</w:t>
      </w:r>
    </w:p>
    <w:p w:rsidR="002226EB" w:rsidRPr="00667C02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 w:rsidRPr="00667C02">
        <w:t>Дизайн графических элементов в модульной сетке:</w:t>
      </w:r>
    </w:p>
    <w:p w:rsidR="002226EB" w:rsidRPr="00667C02" w:rsidRDefault="002226EB" w:rsidP="002226EB">
      <w:pPr>
        <w:pStyle w:val="a4"/>
        <w:ind w:left="1228" w:firstLine="0"/>
        <w:jc w:val="center"/>
      </w:pPr>
      <w:r w:rsidRPr="00667C02">
        <w:rPr>
          <w:noProof/>
        </w:rPr>
        <w:drawing>
          <wp:inline distT="0" distB="0" distL="0" distR="0" wp14:anchorId="00E90214" wp14:editId="06017643">
            <wp:extent cx="3371850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EB" w:rsidRPr="00667C02" w:rsidRDefault="002226EB" w:rsidP="002226EB">
      <w:pPr>
        <w:pStyle w:val="a4"/>
        <w:ind w:left="1228" w:firstLine="0"/>
        <w:jc w:val="center"/>
        <w:rPr>
          <w:i/>
          <w:iCs/>
        </w:rPr>
      </w:pPr>
      <w:r w:rsidRPr="00667C02">
        <w:rPr>
          <w:i/>
          <w:iCs/>
          <w:lang w:val="en-US"/>
        </w:rPr>
        <w:t>Y = 250 </w:t>
      </w:r>
      <w:r w:rsidRPr="00667C02">
        <w:rPr>
          <w:i/>
          <w:iCs/>
        </w:rPr>
        <w:t>мм</w:t>
      </w:r>
    </w:p>
    <w:p w:rsidR="002226EB" w:rsidRPr="00667C02" w:rsidRDefault="002226EB" w:rsidP="002226EB">
      <w:pPr>
        <w:pStyle w:val="a4"/>
        <w:ind w:left="867"/>
      </w:pPr>
    </w:p>
    <w:p w:rsidR="002226E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>
        <w:t>Технические требования по монтажу конструкции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>Монтаж электрооборудования должен соответствовать нормам и требованиям ПУЭ. Необходимо предусмотреть технологический доступ к элементам системы подсветки.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>Блоки питания (наружное исполнение, степень защиты не менее IP 65) устанавливать в доступном для обслуживания месте, не</w:t>
      </w:r>
      <w:r>
        <w:t xml:space="preserve"> </w:t>
      </w:r>
      <w:r w:rsidRPr="00523B08">
        <w:t>видимом со стороны фасада здания и лицевой части вывески. Корпуса блоков питания необходимо заземлять на несущую конструкцию вывески.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 xml:space="preserve">В случае если линия питания (напряжением 220В) прокладывается открытым способом (по улице), необходимо проложить ее в ПВХ или </w:t>
      </w:r>
      <w:proofErr w:type="spellStart"/>
      <w:r w:rsidRPr="00523B08">
        <w:t>гофротрубе</w:t>
      </w:r>
      <w:proofErr w:type="spellEnd"/>
      <w:r w:rsidRPr="00523B08">
        <w:t xml:space="preserve"> от места вывода кабеля до распределительной коробки закрепленной на конструкции вывески (в некоторых случаях до щита защиты, устанавливаемого вблизи </w:t>
      </w:r>
      <w:r w:rsidRPr="00523B08">
        <w:lastRenderedPageBreak/>
        <w:t>вывески). Кабельные линии должны быть закреплены к металлоконструкциям и не должны иметь участков с провисаниями. ПВХ трубу крепить через клипсы к конструкциям здания при помощи саморезов.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>Низковольтные электрические трассы внутри вывески должны быть закреплены к задней стенке вывески, все места вводов — с герметизацией.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 xml:space="preserve">Соединение кабельных линий выполнять с использованием </w:t>
      </w:r>
      <w:proofErr w:type="spellStart"/>
      <w:r w:rsidRPr="00523B08">
        <w:t>клемного</w:t>
      </w:r>
      <w:proofErr w:type="spellEnd"/>
      <w:r w:rsidRPr="00523B08">
        <w:t xml:space="preserve"> винтового разъема (или WAGO) в </w:t>
      </w:r>
      <w:proofErr w:type="spellStart"/>
      <w:r w:rsidRPr="00523B08">
        <w:t>распаечных</w:t>
      </w:r>
      <w:proofErr w:type="spellEnd"/>
      <w:r w:rsidRPr="00523B08">
        <w:t xml:space="preserve"> коробках со степенью защиты не менее IP 65. Ввод кабельных линий в </w:t>
      </w:r>
      <w:proofErr w:type="spellStart"/>
      <w:r w:rsidRPr="00523B08">
        <w:t>распаечные</w:t>
      </w:r>
      <w:proofErr w:type="spellEnd"/>
      <w:r w:rsidRPr="00523B08">
        <w:t xml:space="preserve"> коробки выполнять в </w:t>
      </w:r>
      <w:proofErr w:type="spellStart"/>
      <w:r w:rsidRPr="00523B08">
        <w:t>гофро</w:t>
      </w:r>
      <w:proofErr w:type="spellEnd"/>
      <w:r w:rsidRPr="00523B08">
        <w:t xml:space="preserve">-трубе через уплотнители снизу </w:t>
      </w:r>
      <w:proofErr w:type="spellStart"/>
      <w:r w:rsidRPr="00523B08">
        <w:t>распаечной</w:t>
      </w:r>
      <w:proofErr w:type="spellEnd"/>
      <w:r w:rsidRPr="00523B08">
        <w:t xml:space="preserve"> коробки, ввод кабельных линий сверху и сбоку не допускается.</w:t>
      </w:r>
    </w:p>
    <w:p w:rsidR="002226EB" w:rsidRPr="00523B08" w:rsidRDefault="002226EB" w:rsidP="002226EB">
      <w:pPr>
        <w:pStyle w:val="a4"/>
        <w:spacing w:before="80" w:after="120"/>
        <w:ind w:left="867" w:firstLine="0"/>
        <w:contextualSpacing w:val="0"/>
      </w:pPr>
      <w:r w:rsidRPr="00523B08">
        <w:t>Подсветку объемных световых элементов вывесок проектировать и исполнять с использованием модулей холодного белого свечения со степенью защиты не менее IP65.</w:t>
      </w:r>
    </w:p>
    <w:p w:rsidR="002226EB" w:rsidRDefault="002226EB" w:rsidP="002226EB">
      <w:pPr>
        <w:pStyle w:val="a4"/>
        <w:spacing w:before="80" w:after="120"/>
        <w:ind w:left="867" w:firstLine="0"/>
        <w:contextualSpacing w:val="0"/>
      </w:pPr>
    </w:p>
    <w:p w:rsidR="002226EB" w:rsidRPr="00D43FF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</w:p>
    <w:p w:rsidR="002226EB" w:rsidRPr="00D43FFB" w:rsidRDefault="002226EB" w:rsidP="002226EB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услуг.</w:t>
      </w:r>
    </w:p>
    <w:p w:rsidR="002226EB" w:rsidRPr="00D43FF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>Основные требования по организации оказания услуг</w:t>
      </w:r>
    </w:p>
    <w:p w:rsidR="002226EB" w:rsidRPr="00D43FFB" w:rsidRDefault="002226EB" w:rsidP="002226EB">
      <w:pPr>
        <w:spacing w:before="80" w:after="120"/>
        <w:ind w:left="867" w:firstLine="0"/>
      </w:pPr>
      <w:r w:rsidRPr="00D43FFB">
        <w:t>Исполнитель самостоятельно обеспечивает материально-техническую базу для оказания услуг.</w:t>
      </w:r>
    </w:p>
    <w:p w:rsidR="002226EB" w:rsidRPr="00D43FFB" w:rsidRDefault="002226EB" w:rsidP="002226EB">
      <w:pPr>
        <w:spacing w:before="80" w:after="120"/>
        <w:ind w:left="867" w:firstLine="0"/>
      </w:pPr>
      <w:r>
        <w:t xml:space="preserve">Исполнитель регулярно информирует Заказчика о ходе подготовки и выполнения Заказа. </w:t>
      </w:r>
      <w:r w:rsidRPr="00D43FFB">
        <w:t>В целях организации оказания услуг Исполнителем планируется проведение консультаци</w:t>
      </w:r>
      <w:r>
        <w:t xml:space="preserve">й, </w:t>
      </w:r>
      <w:r w:rsidRPr="00D43FFB">
        <w:t xml:space="preserve">совещаний </w:t>
      </w:r>
      <w:r>
        <w:t xml:space="preserve">и согласований </w:t>
      </w:r>
      <w:r w:rsidRPr="00D43FFB">
        <w:t>с Заказчиком.</w:t>
      </w:r>
    </w:p>
    <w:p w:rsidR="002226EB" w:rsidRPr="00D43FF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 xml:space="preserve">Предоставляя </w:t>
      </w:r>
      <w:proofErr w:type="gramStart"/>
      <w:r w:rsidRPr="00D43FFB">
        <w:t>все вышеперечисленное</w:t>
      </w:r>
      <w:proofErr w:type="gramEnd"/>
      <w:r w:rsidRPr="00D43FFB">
        <w:t xml:space="preserve"> </w:t>
      </w:r>
      <w:r>
        <w:t>Исполнитель</w:t>
      </w:r>
      <w:r w:rsidRPr="00D43FFB">
        <w:t xml:space="preserve"> гарантирует осуществление закупок для Роскачества по указанным </w:t>
      </w:r>
      <w:r>
        <w:t xml:space="preserve">в конкурсном предложении </w:t>
      </w:r>
      <w:r w:rsidRPr="00D43FFB">
        <w:t xml:space="preserve">ценам/условиям и при указанных обстоятельствах. В случае возникновения обстоятельств, препятствующих реализации </w:t>
      </w:r>
      <w:r>
        <w:t xml:space="preserve">Исполнителем </w:t>
      </w:r>
      <w:r w:rsidRPr="00D43FFB">
        <w:t>своих обещаний, гарантии могут быть скорректированы путем дополнительного согласования. К таковым, к примеру, могут быть отнесены следующие факторы:</w:t>
      </w:r>
    </w:p>
    <w:p w:rsidR="002226EB" w:rsidRPr="00D43FFB" w:rsidRDefault="002226EB" w:rsidP="002226EB">
      <w:pPr>
        <w:pStyle w:val="a4"/>
        <w:numPr>
          <w:ilvl w:val="0"/>
          <w:numId w:val="3"/>
        </w:numPr>
        <w:spacing w:before="80" w:after="120"/>
        <w:ind w:left="1228"/>
        <w:contextualSpacing w:val="0"/>
      </w:pPr>
      <w:r>
        <w:t>и</w:t>
      </w:r>
      <w:r w:rsidRPr="00D43FFB">
        <w:t>зменения вводных от клиента, которые не были включены в задание на закупки и которые значительно влияют на возможность выполнения гарантий.</w:t>
      </w:r>
    </w:p>
    <w:p w:rsidR="002226EB" w:rsidRPr="00D43FFB" w:rsidRDefault="002226EB" w:rsidP="002226EB">
      <w:pPr>
        <w:spacing w:before="80" w:after="120"/>
        <w:ind w:left="867" w:firstLine="0"/>
      </w:pPr>
      <w:r w:rsidRPr="00D43FFB">
        <w:t>В случае невыполнения гарантий на этапе сделки, Роскачество оставляет за собой право обратиться за получением условий к другому финалисту.</w:t>
      </w:r>
    </w:p>
    <w:p w:rsidR="002226EB" w:rsidRPr="00D43FFB" w:rsidRDefault="002226EB" w:rsidP="002226EB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 w:rsidRPr="00D43FFB">
        <w:rPr>
          <w:b/>
        </w:rPr>
        <w:t>Оплата</w:t>
      </w:r>
    </w:p>
    <w:p w:rsidR="002226EB" w:rsidRPr="00D43FF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>Все цены должны быть указаны в рублях с учетом всех налогов и расходов на производство рекламных материалов в случае необходимости.</w:t>
      </w:r>
    </w:p>
    <w:p w:rsidR="002226EB" w:rsidRPr="00D43FFB" w:rsidRDefault="002226EB" w:rsidP="002226EB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>
        <w:t>.</w:t>
      </w:r>
    </w:p>
    <w:p w:rsidR="002226EB" w:rsidRDefault="002226EB" w:rsidP="002226EB">
      <w:pPr>
        <w:spacing w:before="80" w:after="120"/>
      </w:pPr>
    </w:p>
    <w:p w:rsidR="002226EB" w:rsidRDefault="002226EB" w:rsidP="002226EB">
      <w:pPr>
        <w:spacing w:before="80" w:after="120"/>
      </w:pPr>
    </w:p>
    <w:p w:rsidR="00395216" w:rsidRDefault="00395216"/>
    <w:sectPr w:rsidR="0039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71EB"/>
    <w:multiLevelType w:val="hybridMultilevel"/>
    <w:tmpl w:val="0398222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1728"/>
    <w:multiLevelType w:val="hybridMultilevel"/>
    <w:tmpl w:val="FF90BD6E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B"/>
    <w:rsid w:val="002226EB"/>
    <w:rsid w:val="003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D0150-6B18-490F-81A6-5997865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E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Дмитрий Владимирович</dc:creator>
  <cp:keywords/>
  <dc:description/>
  <cp:lastModifiedBy>Ковалев Дмитрий Владимирович</cp:lastModifiedBy>
  <cp:revision>1</cp:revision>
  <dcterms:created xsi:type="dcterms:W3CDTF">2020-10-07T17:51:00Z</dcterms:created>
  <dcterms:modified xsi:type="dcterms:W3CDTF">2020-10-07T17:52:00Z</dcterms:modified>
</cp:coreProperties>
</file>