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 w:firstLine="0"/>
        <w:jc w:val="center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  расчета стоимости работ по сертификации продукции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халяль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распространяется на определение стоимости работ по подтверждению соответствия в виде сертификации продукции.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Оплата работ по сертификации продукции основывается на следующих принципах: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фактически произведенные работы по сертификации оплачиваются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, вне зависимости от принятых по их результатам решений;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дневная ставка экспертов по сертификации, привлекаемых для 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по сертификации, принимаемая для расчета стоимости работ по сертификации, определяется ОС самостоятельно исходя из установленных условий оплаты труда работников, стоимости услуг привлекаемых экспертов и сторонних организаций и иных затрат по сертификации.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стоимость работ по сертификации зависит от схемы сертификации продукции и видов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проводимых ОС. В перечень работ по сертификации включаются следующие виды работ: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рассмотрение заявки на сертификацию продукции,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работ по сертификации продукции,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схемы сертификации,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договора на проведение работ по сертификации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продукции и отбор образцов продукции для испытаний;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протоколов испытаний;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производства (если предусмотрено схемой сертификации);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соответствия продукции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решения о возможности выдачи сертификата соответствия;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сертификата соответствия (добровольная сертификация) и регистрация его в реестре сертифицируемой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"/>
        </w:num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определения стоимости работ по сертификации продукции (услуг).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определения общих затрат на сертификацию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случае суммарные затраты на сертификацию конкретной продукции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(С)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определяются по формуле 1: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                               n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= Сос +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+ Сип + Са +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(1)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 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i=1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С - общая стоимость услуг по подтверждению соответствия, руб.;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 - стоимость работ, проводимых ОС продукции, руб.;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 - стоимость образцов, отобранных для сертификационных испытаний (разрушающих), руб.;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Сип - стоимость испытаний продукции в аккредитованной испытательной лаборатории, руб.;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 - стоимость анализа состояния производства;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Срс</w:t>
      </w:r>
      <w:r>
        <w:rPr>
          <w:rFonts w:ascii="Times New Roman" w:hAnsi="Times New Roman" w:cs="Times New Roman"/>
          <w:sz w:val="28"/>
          <w:szCs w:val="28"/>
        </w:rPr>
        <w:t xml:space="preserve"> - расходы на упаковку, хранение, утилизацию, погрузочно-разгрузочные работы и транспортировку образцов к месту испытаний, руб.;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1"/>
          <w:numId w:val="5"/>
        </w:num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Правила определения стоимости затрат органа по сертификации (Сос)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ОС продукции при сертификации конкретной продукции (услуги) определяются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 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toci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х Т х (1 +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)/100) х (1 + Р/100),     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  </w:t>
      </w:r>
      <w:r>
        <w:rPr>
          <w:rFonts w:ascii="Times New Roman" w:hAnsi="Times New Roman" w:cs="Times New Roman"/>
          <w:sz w:val="28"/>
          <w:szCs w:val="28"/>
        </w:rPr>
        <w:t xml:space="preserve">toci</w:t>
      </w:r>
      <w:r>
        <w:rPr>
          <w:rFonts w:ascii="Times New Roman" w:hAnsi="Times New Roman" w:cs="Times New Roman"/>
          <w:sz w:val="28"/>
          <w:szCs w:val="28"/>
        </w:rPr>
        <w:t xml:space="preserve">       -  трудоемкость сертификации  конкретной  продукции по i-й схеме сертификации, чел.-</w:t>
      </w:r>
      <w:r>
        <w:rPr>
          <w:rFonts w:ascii="Times New Roman" w:hAnsi="Times New Roman" w:cs="Times New Roman"/>
          <w:sz w:val="28"/>
          <w:szCs w:val="28"/>
        </w:rPr>
        <w:t xml:space="preserve">дн</w:t>
      </w:r>
      <w:r>
        <w:rPr>
          <w:rFonts w:ascii="Times New Roman" w:hAnsi="Times New Roman" w:cs="Times New Roman"/>
          <w:sz w:val="28"/>
          <w:szCs w:val="28"/>
        </w:rPr>
        <w:t xml:space="preserve">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- дневная ставка эксперта, </w:t>
      </w:r>
      <w:r>
        <w:rPr>
          <w:rFonts w:ascii="Times New Roman" w:hAnsi="Times New Roman" w:cs="Times New Roman"/>
          <w:sz w:val="28"/>
          <w:szCs w:val="28"/>
        </w:rPr>
        <w:t xml:space="preserve">руб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Кнз</w:t>
      </w:r>
      <w:r>
        <w:rPr>
          <w:rFonts w:ascii="Times New Roman" w:hAnsi="Times New Roman" w:cs="Times New Roman"/>
          <w:sz w:val="28"/>
          <w:szCs w:val="28"/>
        </w:rPr>
        <w:t xml:space="preserve"> - норматив начислений на заработную плату, установленный действующим законодательством,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Кнр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накладных расходов,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- уровень рентабельности, 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Правила определения отбора и стоимости образцов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Сотб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образцов (проб) </w:t>
      </w:r>
      <w:r>
        <w:rPr>
          <w:rFonts w:ascii="Times New Roman" w:hAnsi="Times New Roman" w:cs="Times New Roman"/>
          <w:sz w:val="28"/>
          <w:szCs w:val="28"/>
        </w:rPr>
        <w:t xml:space="preserve">продукции</w:t>
      </w:r>
      <w:r>
        <w:rPr>
          <w:rFonts w:ascii="Times New Roman" w:hAnsi="Times New Roman" w:cs="Times New Roman"/>
          <w:sz w:val="28"/>
          <w:szCs w:val="28"/>
        </w:rPr>
        <w:t xml:space="preserve"> заявленной на сертификацию проводит работник ОС (эксперт по подтверждению соответствия заявленной продукции) либо третье лицо.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Стоимость работ по отбору образцов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Сотб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 Т х (1 +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)/100) х (1 + Р/100) +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К, 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  (3)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С </w:t>
      </w:r>
      <w:r>
        <w:rPr>
          <w:rFonts w:ascii="Times New Roman" w:hAnsi="Times New Roman" w:cs="Times New Roman"/>
          <w:sz w:val="28"/>
          <w:szCs w:val="28"/>
        </w:rPr>
        <w:t xml:space="preserve">отб</w:t>
      </w:r>
      <w:r>
        <w:rPr>
          <w:rFonts w:ascii="Times New Roman" w:hAnsi="Times New Roman" w:cs="Times New Roman"/>
          <w:sz w:val="28"/>
          <w:szCs w:val="28"/>
        </w:rPr>
        <w:t xml:space="preserve">– стоимость работ по отбору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t_o</w:t>
      </w:r>
      <w:r>
        <w:rPr>
          <w:rFonts w:ascii="Times New Roman" w:hAnsi="Times New Roman" w:cs="Times New Roman"/>
          <w:sz w:val="28"/>
          <w:szCs w:val="28"/>
        </w:rPr>
        <w:t xml:space="preserve"> – трудоёмкость работ по отбору проб для проведения сертификационных испытаний чел-</w:t>
      </w:r>
      <w:r>
        <w:rPr>
          <w:rFonts w:ascii="Times New Roman" w:hAnsi="Times New Roman" w:cs="Times New Roman"/>
          <w:sz w:val="28"/>
          <w:szCs w:val="28"/>
        </w:rPr>
        <w:t xml:space="preserve">дн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табл. 1 (Приложение А) или табл.2 (приложение Б).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 – средняя дневная ставка одного работника ОС (эксперта по подтверждению соответствия продукции);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Кнз</w:t>
      </w:r>
      <w:r>
        <w:rPr>
          <w:rFonts w:ascii="Times New Roman" w:hAnsi="Times New Roman" w:cs="Times New Roman"/>
          <w:sz w:val="28"/>
          <w:szCs w:val="28"/>
        </w:rPr>
        <w:t xml:space="preserve"> – норматив начислений на среднюю дневную ставку, установленный действующим законодательством;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Кнр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накладных расходов,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командировочные расходы.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 - уровень рентабельности, 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Стоимость образцов, отобранных для сертификационных испытаний (разрушающих)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), определяется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стоимость образцов, взятых у изготовителя для разрушающих испытаний, определяется по их фактической себестоимости, определенной изготовителем;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стоимость образцов, отобранных в торговле, определяется в соответствии с их розничной ценой на основании документов, удостоверяющих факт покупки.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упаковку, хранение, утилизацию, погрузочно-разгрузочные работы и транспортировку образцов к месту испытаний (</w:t>
      </w:r>
      <w:r>
        <w:rPr>
          <w:rFonts w:ascii="Times New Roman" w:hAnsi="Times New Roman" w:cs="Times New Roman"/>
          <w:sz w:val="28"/>
          <w:szCs w:val="28"/>
        </w:rPr>
        <w:t xml:space="preserve">Срс</w:t>
      </w:r>
      <w:r>
        <w:rPr>
          <w:rFonts w:ascii="Times New Roman" w:hAnsi="Times New Roman" w:cs="Times New Roman"/>
          <w:sz w:val="28"/>
          <w:szCs w:val="28"/>
        </w:rPr>
        <w:t xml:space="preserve">) определяются по фактическим затратам.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Правила определения стоимости проведения исследований (испытаний) и измерений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проведения исследований (испытаний) и измерений образцов продукции, отобранных в соответствии со схемой сертификации </w:t>
      </w:r>
      <w:r>
        <w:rPr>
          <w:rFonts w:ascii="Times New Roman" w:hAnsi="Times New Roman" w:cs="Times New Roman"/>
          <w:sz w:val="28"/>
          <w:szCs w:val="28"/>
        </w:rPr>
        <w:t xml:space="preserve">продукции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аккредитованной испытательной лабораторией на основе установленных нормативов затрат, и рассчитывается испытательной лабораторией самостоятельно.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договора или соглашения о сотрудничестве ИЛ обязана уведомлять ОС о действующих расценках на испытания и каждом изменении своих тарифов.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стоимость затрат на проведение испытаний (измерений) определяется из видов продукции, подлежащих се</w:t>
      </w:r>
      <w:r>
        <w:rPr>
          <w:rFonts w:ascii="Times New Roman" w:hAnsi="Times New Roman" w:cs="Times New Roman"/>
          <w:sz w:val="28"/>
          <w:szCs w:val="28"/>
        </w:rPr>
        <w:t xml:space="preserve">ртификации и видов испытаний (показателей). ОС при работе с Заявителем определяет объем необходимых испытаний при сертификации продукции (услуг) и может предложить примерный расчет стоимости проведения исследований (испытаний) и измерений по расценкам ИЛ.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Правила определения стоимости анализа состояния производства (Са)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при сертификации продукции выбрана </w:t>
      </w:r>
      <w:r>
        <w:rPr>
          <w:rFonts w:ascii="Times New Roman" w:hAnsi="Times New Roman" w:cs="Times New Roman"/>
          <w:sz w:val="28"/>
          <w:szCs w:val="28"/>
        </w:rPr>
        <w:t xml:space="preserve">схема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предусматривающая анализ состояния производства, то учитывают трудоемкость работ, выполняемых работниками ОС при анализе состояния производства.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трудоемкости анализа состояния производства зависят от сложности сертифицируемой продукции и сложности ее производства.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 стоимости</w:t>
      </w:r>
      <w:r>
        <w:rPr>
          <w:rFonts w:ascii="Times New Roman" w:hAnsi="Times New Roman" w:cs="Times New Roman"/>
          <w:sz w:val="28"/>
          <w:szCs w:val="28"/>
        </w:rPr>
        <w:t xml:space="preserve"> анализа состояния производства производят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 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tаi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х Т х (1 +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Кнр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)/100) х (1 + Р/100),     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где:  </w:t>
      </w: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</w:rPr>
        <w:t xml:space="preserve">аi</w:t>
      </w:r>
      <w:r>
        <w:rPr>
          <w:rFonts w:ascii="Times New Roman" w:hAnsi="Times New Roman" w:cs="Times New Roman"/>
          <w:sz w:val="28"/>
          <w:szCs w:val="28"/>
        </w:rPr>
        <w:t xml:space="preserve">       -  трудоемкость анализа производства  конкретной  продукции в зависимости от группы сложности, чел.-</w:t>
      </w:r>
      <w:r>
        <w:rPr>
          <w:rFonts w:ascii="Times New Roman" w:hAnsi="Times New Roman" w:cs="Times New Roman"/>
          <w:sz w:val="28"/>
          <w:szCs w:val="28"/>
        </w:rPr>
        <w:t xml:space="preserve">дн</w:t>
      </w:r>
      <w:r>
        <w:rPr>
          <w:rFonts w:ascii="Times New Roman" w:hAnsi="Times New Roman" w:cs="Times New Roman"/>
          <w:sz w:val="28"/>
          <w:szCs w:val="28"/>
        </w:rPr>
        <w:t xml:space="preserve">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Т - дневная ставка эксперта, </w:t>
      </w:r>
      <w:r>
        <w:rPr>
          <w:rFonts w:ascii="Times New Roman" w:hAnsi="Times New Roman" w:cs="Times New Roman"/>
          <w:sz w:val="28"/>
          <w:szCs w:val="28"/>
        </w:rPr>
        <w:t xml:space="preserve">руб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</w:t>
      </w:r>
      <w:r>
        <w:rPr>
          <w:rFonts w:ascii="Times New Roman" w:hAnsi="Times New Roman" w:cs="Times New Roman"/>
          <w:sz w:val="28"/>
          <w:szCs w:val="28"/>
        </w:rPr>
        <w:t xml:space="preserve">Кнз</w:t>
      </w:r>
      <w:r>
        <w:rPr>
          <w:rFonts w:ascii="Times New Roman" w:hAnsi="Times New Roman" w:cs="Times New Roman"/>
          <w:sz w:val="28"/>
          <w:szCs w:val="28"/>
        </w:rPr>
        <w:t xml:space="preserve"> - норматив начислений на заработную плату, установленный действующим законодательством,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</w:t>
      </w:r>
      <w:r>
        <w:rPr>
          <w:rFonts w:ascii="Times New Roman" w:hAnsi="Times New Roman" w:cs="Times New Roman"/>
          <w:sz w:val="28"/>
          <w:szCs w:val="28"/>
        </w:rPr>
        <w:t xml:space="preserve">Кнр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накладных расходов,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Р - уровень рентабельности, %.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1197"/>
        <w:keepLines/>
        <w:keepNext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Минимальная продолжительность аудита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9"/>
        <w:ind w:firstLine="0"/>
        <w:keepLines/>
        <w:keepNext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bookmarkEnd w:id="0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продолжительности аудита, требуемого для каждого участка, как указано в п. 9.1.4 настоящего стандарта, аналогичного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ISO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/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IEC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17021-1, орган по сертификации халяль должен учитывать минимальную продолжительность аудита на месте для первичной сертификации, приведенной в Таблице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Минимальное время включает этап 1 и этап 2 первичного сертификационного аудита (см. п. 9.2.3), но не включает время для подготовки аудита или для составления аудиторского отчета.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Минимальная продолжительность инспекц</w:t>
      </w:r>
      <w:r>
        <w:rPr>
          <w:rFonts w:ascii="Times New Roman" w:hAnsi="Times New Roman" w:cs="Times New Roman"/>
          <w:sz w:val="28"/>
          <w:szCs w:val="28"/>
        </w:rPr>
        <w:t xml:space="preserve">ионного аудита должна составлять одну треть от времени первичного сертификационного аудита, и не менее 0,5 дней аудита. Минимальное время для возобновления должно составлять две трети времени первичного сертификационного аудита, и не менее 0,5 дней аудита.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не имеется соответствующего сертифицированного продукта/процесса/услуги халяль или</w:t>
      </w:r>
      <w:r>
        <w:rPr>
          <w:rFonts w:ascii="Times New Roman" w:hAnsi="Times New Roman" w:cs="Times New Roman"/>
          <w:sz w:val="28"/>
          <w:szCs w:val="28"/>
        </w:rPr>
        <w:t xml:space="preserve"> системы менеджмента, необходимо добавить дополнительное время на аудит. Для того, чтобы считаться соответствующим, сертификат системы менеджмента должен покрывать объем безопасности пищевых продуктов для соответствующего продукта/процесса/услуги/процесса.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сотрудников должно быть выражено как количество эквивалентное сотрудникам, занятым полный рабочий день, связанных с областью сертификации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FTEs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выборки из нескольких мест возможно только для категорий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A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E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F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G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(см. Таблицу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и для организаций с более чем 20 площадками, осуществляющих аналогичные процессы по данным категориям. Это применимо к первичной сертификации, к инспекционному и </w:t>
      </w:r>
      <w:r>
        <w:rPr>
          <w:rFonts w:ascii="Times New Roman" w:hAnsi="Times New Roman" w:cs="Times New Roman"/>
          <w:sz w:val="28"/>
          <w:szCs w:val="28"/>
        </w:rPr>
        <w:t xml:space="preserve">ресертификационному</w:t>
      </w:r>
      <w:r>
        <w:rPr>
          <w:rFonts w:ascii="Times New Roman" w:hAnsi="Times New Roman" w:cs="Times New Roman"/>
          <w:sz w:val="28"/>
          <w:szCs w:val="28"/>
        </w:rPr>
        <w:t xml:space="preserve"> аудиту. Орган по сертификации должен обосновать свое решение по отбору проб для многоместной сертификации.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факторы могут потребовать увеличения минимальной продолжительности аудита (например, количество типов продуктов, количество продуктовых линеек, разработка продуктов, количество критических контрольных точек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CCPs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халяль, количество действующих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PRPs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здания, инфраструктура, внутренние лабораторные испытания, потребность в переводчике).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ауд</w:t>
      </w:r>
      <w:r>
        <w:rPr>
          <w:rFonts w:ascii="Times New Roman" w:hAnsi="Times New Roman" w:cs="Times New Roman"/>
          <w:sz w:val="28"/>
          <w:szCs w:val="28"/>
        </w:rPr>
        <w:t xml:space="preserve">ита для всех типов аудитов включает в себя общее время на месте в месте нахождения клиента (физическое или виртуальное) и время, проведенное за пределами объекта для планирования, проверки документов, взаимодействия с персоналом клиента и написания отчета.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аудита на месте сертификации халяль, как правило, должна составлять не менее 70% продолжительности аудита, рассчитанного в соответствии с методологией, изложенной в разделе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Это относится к первичному, инспекционному и </w:t>
      </w:r>
      <w:r>
        <w:rPr>
          <w:rFonts w:ascii="Times New Roman" w:hAnsi="Times New Roman" w:cs="Times New Roman"/>
          <w:sz w:val="28"/>
          <w:szCs w:val="28"/>
        </w:rPr>
        <w:t xml:space="preserve">ресертификационному</w:t>
      </w:r>
      <w:r>
        <w:rPr>
          <w:rFonts w:ascii="Times New Roman" w:hAnsi="Times New Roman" w:cs="Times New Roman"/>
          <w:sz w:val="28"/>
          <w:szCs w:val="28"/>
        </w:rPr>
        <w:t xml:space="preserve"> аудиту.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HCB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применить любое сокращение или увеличение времени аудита с использованием подходящих и применимых обоснований. Это сокращение не должно превышать 30% от времени аудита согласно разделу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9"/>
        <w:ind w:firstLine="0"/>
        <w:keepLines/>
        <w:keepNext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 xml:space="preserve">Расчет минимальной продолжительности первичного аудита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.2.1 </w:t>
      </w:r>
      <w:r>
        <w:rPr>
          <w:rFonts w:ascii="Times New Roman" w:hAnsi="Times New Roman" w:cs="Times New Roman"/>
          <w:sz w:val="28"/>
          <w:szCs w:val="28"/>
        </w:rPr>
        <w:t xml:space="preserve">Минимальная продолжительность аудита для одной площадки, </w:t>
      </w: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Ts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200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TD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TH + (TPV +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TFTE)*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CC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TD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базовое время аудита на месте, в днях;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left="82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TH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дни аудита для каждого дополнительного исследования группы продуктов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HACCP</w:t>
      </w:r>
      <w:r>
        <w:rPr>
          <w:rFonts w:ascii="Times New Roman" w:hAnsi="Times New Roman" w:cs="Times New Roman"/>
          <w:sz w:val="28"/>
          <w:szCs w:val="28"/>
        </w:rPr>
        <w:t xml:space="preserve">/Халяль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CCP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только для группы продуктов/услуг/процессов в пищевой цепи.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H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считается равным «0», если в компании проводится 1 исследование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HACCP</w:t>
      </w:r>
      <w:r>
        <w:rPr>
          <w:rFonts w:ascii="Times New Roman" w:hAnsi="Times New Roman" w:cs="Times New Roman"/>
          <w:sz w:val="28"/>
          <w:szCs w:val="28"/>
        </w:rPr>
        <w:t xml:space="preserve">/Халяль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CCP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каждого дополнительного исследования количество аудитов будет увеличиваться, для других типов продуктов/услуг/процессов оно может быть принято равным «0».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TPV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дни аудита для разновидностей продуктов.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TFTE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количество дней аудита на количество сотрудников.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CC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показатель как множитель для класса сложности процесса или производства.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вычисления </w:t>
      </w: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Ts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является десятичное число, число дней должно быть скорректировано до ближайшей половины дня (например: 5,3 дня аудита становятся 5,5 днями аудита, 5,2 аудиторских дней становится 5 аудиторскими днями).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вычисления </w:t>
      </w: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Ts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является десятичное число, число дней должно быть округлено до следующего целого дня или половины дня (например, 5,3 дня аудита становятся 5,5 дней аудита, 5,7 дня аудита становятся 6 днями аудита).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1_1194"/>
          <w:rFonts w:ascii="Times New Roman" w:hAnsi="Times New Roman" w:cs="Times New Roman"/>
          <w:sz w:val="28"/>
          <w:szCs w:val="28"/>
        </w:rPr>
        <w:t xml:space="preserve">В.2.2 </w:t>
      </w:r>
      <w:r>
        <w:rPr>
          <w:rFonts w:ascii="Times New Roman" w:hAnsi="Times New Roman" w:cs="Times New Roman"/>
          <w:sz w:val="28"/>
          <w:szCs w:val="28"/>
        </w:rPr>
        <w:t xml:space="preserve">Минимальное время аудита для каждого последующего места, </w:t>
      </w: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Tasv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200"/>
        <w:ind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0" w:h="16840" w:orient="portrait"/>
          <w:pgMar w:top="1671" w:right="1084" w:bottom="1517" w:left="1029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Tasv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Ts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50/100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201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  <w:framePr w:w="9878" w:wrap="notBeside" w:vAnchor="text" w:hAnchor="text" w:xAlign="center" w:y="1"/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 xml:space="preserve">- Минимальная продолжительность первичного сертификационного аудита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34"/>
        <w:gridCol w:w="1046"/>
        <w:gridCol w:w="1262"/>
        <w:gridCol w:w="2126"/>
        <w:gridCol w:w="1128"/>
        <w:gridCol w:w="1848"/>
        <w:gridCol w:w="1195"/>
      </w:tblGrid>
      <w:tr>
        <w:trPr>
          <w:jc w:val="center"/>
          <w:trHeight w:val="1896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Style w:val="1_1198"/>
              <w:ind w:left="20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</w:rPr>
              <w:t xml:space="preserve"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A)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TD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время аудита на месте (в днях аудита)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TH</w:t>
            </w: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footnoteReference w:id="2"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последующей оценки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HACCP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днях аудита)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TFTE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сотрудников, связанных с объемом сертификации (в днях аудита)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CC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сложности (коэффи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циент,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TPV</w:t>
            </w: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продукции (в днях аудита)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Tasv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 места (в днях аудита)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_1198"/>
              <w:ind w:left="26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A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AI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AII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B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BI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BII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_1198"/>
              <w:ind w:left="26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19 = 0.5 от 20 до 49 = 1.0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D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vAlign w:val="bottom"/>
            <w:vMerge w:val="continue"/>
            <w:textDirection w:val="lrTb"/>
            <w:noWrap w:val="false"/>
          </w:tcPr>
          <w:p>
            <w:pPr>
              <w:framePr w:w="9878" w:wrap="notBeside" w:vAnchor="text" w:hAnchor="text" w:xAlign="center" w:y="1"/>
            </w:pPr>
            <w:r/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1_1198"/>
              <w:ind w:left="20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CC=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vAlign w:val="bottom"/>
            <w:vMerge w:val="restart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50 %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 до 79 = 1.5 от 80 до 199 = 2.0 от 200 до 499 = 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vAlign w:val="bottom"/>
            <w:vMerge w:val="restart"/>
            <w:textDirection w:val="lrTb"/>
            <w:noWrap w:val="false"/>
          </w:tcPr>
          <w:p>
            <w:pPr>
              <w:pStyle w:val="1_1198"/>
              <w:ind w:left="20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left="20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CC=1.50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vAlign w:val="bottom"/>
            <w:vMerge w:val="restart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3 = 0.50 от 4 до 6 = 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vAlign w:val="bottom"/>
            <w:vMerge w:val="continue"/>
            <w:textDirection w:val="lrTb"/>
            <w:noWrap w:val="false"/>
          </w:tcPr>
          <w:p>
            <w:pPr>
              <w:framePr w:w="9878" w:wrap="notBeside" w:vAnchor="text" w:hAnchor="text" w:xAlign="center" w:y="1"/>
            </w:pPr>
            <w:r/>
            <w:r/>
            <w:r/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F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24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FI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framePr w:w="9878" w:wrap="notBeside" w:vAnchor="text" w:hAnchor="text" w:xAlign="center" w:y="1"/>
            </w:pPr>
            <w:r/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vAlign w:val="bottom"/>
            <w:vMerge w:val="continue"/>
            <w:textDirection w:val="lrTb"/>
            <w:noWrap w:val="false"/>
          </w:tcPr>
          <w:p>
            <w:pPr>
              <w:framePr w:w="9878" w:wrap="notBeside" w:vAnchor="text" w:hAnchor="text" w:xAlign="center" w:y="1"/>
            </w:pPr>
            <w:r/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vAlign w:val="bottom"/>
            <w:vMerge w:val="continue"/>
            <w:textDirection w:val="lrTb"/>
            <w:noWrap w:val="false"/>
          </w:tcPr>
          <w:p>
            <w:pPr>
              <w:framePr w:w="9878" w:wrap="notBeside" w:vAnchor="text" w:hAnchor="text" w:xAlign="center" w:y="1"/>
            </w:pPr>
            <w:r/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7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24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FII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500 до 899 = 3.0 от 900 до 1299 = 3.5 от 1300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to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1699 = 4.0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pStyle w:val="1_1198"/>
              <w:ind w:left="20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vMerge w:val="restart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до 10 = 1.50 от 11 до 20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2.00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= 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vAlign w:val="bottom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_1198"/>
              <w:ind w:left="26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G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GI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framePr w:w="9878" w:wrap="notBeside" w:vAnchor="text" w:hAnchor="text" w:xAlign="center" w:y="1"/>
            </w:pPr>
            <w:r/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1_1198"/>
              <w:ind w:left="20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CC=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vMerge w:val="continue"/>
            <w:textDirection w:val="lrTb"/>
            <w:noWrap w:val="false"/>
          </w:tcPr>
          <w:p>
            <w:pPr>
              <w:framePr w:w="9878" w:wrap="notBeside" w:vAnchor="text" w:hAnchor="text" w:xAlign="center" w:y="1"/>
            </w:pPr>
            <w:r/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GII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1700 до 2999 = 4.5 от 3000 до 5000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5.0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5000 = 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аудита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H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H1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framePr w:w="9878" w:wrap="notBeside" w:vAnchor="text" w:hAnchor="text" w:xAlign="center" w:y="1"/>
            </w:pPr>
            <w:r/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1_1198"/>
              <w:ind w:left="20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framePr w:w="9878" w:wrap="notBeside" w:vAnchor="text" w:hAnchor="text" w:xAlign="center" w:y="1"/>
            </w:pPr>
            <w:r/>
            <w:r/>
            <w:r/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HII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CC=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J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K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L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24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LI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24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LII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12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LIII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22" w:hRule="exact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4" w:type="dxa"/>
            <w:textDirection w:val="lrTb"/>
            <w:noWrap w:val="false"/>
          </w:tcPr>
          <w:p>
            <w:pPr>
              <w:pStyle w:val="1_1198"/>
              <w:ind w:left="18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Style w:val="1_1195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LIV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2" w:type="dxa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8"/>
                <w:szCs w:val="28"/>
              </w:rPr>
              <w:framePr w:w="9878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before="0" w:beforeAutospacing="0" w:after="0" w:afterAutospacing="0" w:line="300" w:lineRule="auto"/>
        <w:rPr>
          <w:rFonts w:ascii="Times New Roman" w:hAnsi="Times New Roman" w:cs="Times New Roman"/>
          <w:sz w:val="28"/>
          <w:szCs w:val="28"/>
        </w:rPr>
        <w:framePr w:w="9878" w:wrap="notBeside" w:vAnchor="text" w:hAnchor="text" w:xAlign="center" w:y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numPr>
          <w:ilvl w:val="0"/>
          <w:numId w:val="3"/>
        </w:numPr>
        <w:ind w:left="760" w:hanging="580"/>
        <w:spacing w:before="0" w:beforeAutospacing="0" w:after="0" w:afterAutospacing="0" w:line="300" w:lineRule="auto"/>
        <w:shd w:val="clear" w:color="auto" w:fill="auto"/>
        <w:tabs>
          <w:tab w:val="left" w:pos="38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TH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только для товаров/услуг в пищевой цепи.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left="760" w:hanging="58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>
        <w:rPr>
          <w:rStyle w:val="1_1194"/>
          <w:rFonts w:ascii="Times New Roman" w:hAnsi="Times New Roman" w:cs="Times New Roman"/>
          <w:sz w:val="28"/>
          <w:szCs w:val="28"/>
          <w:lang w:val="en-US" w:eastAsia="en-US" w:bidi="en-US"/>
        </w:rPr>
        <w:t xml:space="preserve">TPV</w:t>
      </w:r>
      <w:r>
        <w:rPr>
          <w:rStyle w:val="1_1194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только для продуктов, не для услуг/процессов.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left="180"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четырех основных классах сложности характера процессов или производства организации, которые существенно влияют на продолжительность сертификационного аудита халяль, а именно: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numPr>
          <w:ilvl w:val="0"/>
          <w:numId w:val="3"/>
        </w:numPr>
        <w:ind w:left="760" w:hanging="580"/>
        <w:spacing w:before="0" w:beforeAutospacing="0" w:after="0" w:afterAutospacing="0" w:line="300" w:lineRule="auto"/>
        <w:shd w:val="clear" w:color="auto" w:fill="auto"/>
        <w:tabs>
          <w:tab w:val="left" w:pos="7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_1193"/>
          <w:rFonts w:ascii="Times New Roman" w:hAnsi="Times New Roman" w:cs="Times New Roman"/>
          <w:sz w:val="28"/>
          <w:szCs w:val="28"/>
        </w:rPr>
        <w:t xml:space="preserve">Очень высокий</w:t>
      </w:r>
      <w:r>
        <w:rPr>
          <w:rFonts w:ascii="Times New Roman" w:hAnsi="Times New Roman" w:cs="Times New Roman"/>
          <w:sz w:val="28"/>
          <w:szCs w:val="28"/>
        </w:rPr>
        <w:t xml:space="preserve"> - очень большое количество детализированных подпроцессов значимой природы (как правило, организации, занятые производством или переработкой, с весьма значительными риска</w:t>
      </w:r>
      <w:r>
        <w:rPr>
          <w:rFonts w:ascii="Times New Roman" w:hAnsi="Times New Roman" w:cs="Times New Roman"/>
          <w:sz w:val="28"/>
          <w:szCs w:val="28"/>
        </w:rPr>
        <w:t xml:space="preserve">ми, не халяльного характера. Он охватывает те сектора продукции или услуг, которые потенциально имеют очень высокие риски в отношении аспектов халяль, с большим разнообразием процессов или подпроцессов или с очень большим количеством сырья или материалов);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left="700" w:right="540" w:firstLine="0"/>
        <w:jc w:val="left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охватывает те продукты и сферы услуг, которые потенциально имеют высокие риски в отношении аспектов халяль, имеющие много процессов);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numPr>
          <w:ilvl w:val="0"/>
          <w:numId w:val="3"/>
        </w:numPr>
        <w:ind w:left="700" w:right="540" w:hanging="700"/>
        <w:spacing w:before="0" w:beforeAutospacing="0" w:after="0" w:afterAutospacing="0" w:line="300" w:lineRule="auto"/>
        <w:shd w:val="clear" w:color="auto" w:fill="auto"/>
        <w:tabs>
          <w:tab w:val="left" w:pos="5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_1193"/>
          <w:rFonts w:ascii="Times New Roman" w:hAnsi="Times New Roman" w:cs="Times New Roman"/>
          <w:sz w:val="28"/>
          <w:szCs w:val="28"/>
        </w:rPr>
        <w:t xml:space="preserve">Средний</w:t>
      </w:r>
      <w:r>
        <w:rPr>
          <w:rFonts w:ascii="Times New Roman" w:hAnsi="Times New Roman" w:cs="Times New Roman"/>
          <w:sz w:val="28"/>
          <w:szCs w:val="28"/>
        </w:rPr>
        <w:t xml:space="preserve"> - среднее число процессов значимой природы (как правило, производители товаров и услуг. Он охватывает продукты и услуги с умеренными потенциальными рисками не халяльного характера);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numPr>
          <w:ilvl w:val="0"/>
          <w:numId w:val="3"/>
        </w:numPr>
        <w:ind w:left="700" w:right="540" w:hanging="700"/>
        <w:spacing w:before="0" w:beforeAutospacing="0" w:after="0" w:afterAutospacing="0" w:line="300" w:lineRule="auto"/>
        <w:shd w:val="clear" w:color="auto" w:fill="auto"/>
        <w:tabs>
          <w:tab w:val="left" w:pos="5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_1193"/>
          <w:rFonts w:ascii="Times New Roman" w:hAnsi="Times New Roman" w:cs="Times New Roman"/>
          <w:sz w:val="28"/>
          <w:szCs w:val="28"/>
        </w:rPr>
        <w:t xml:space="preserve">Низкий</w:t>
      </w:r>
      <w:r>
        <w:rPr>
          <w:rFonts w:ascii="Times New Roman" w:hAnsi="Times New Roman" w:cs="Times New Roman"/>
          <w:sz w:val="28"/>
          <w:szCs w:val="28"/>
        </w:rPr>
        <w:t xml:space="preserve"> - небольшое число процессов значимой природы (как правило, организации с несколькими значительными процессами. Он охватывает продукты и услуги с низкими рисками не халяльного характера).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right="540"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покрывает приведенные выше 4 класса сложности. В Таблице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показана связь между 4мя описанными выше классами сложности и промышленными отраслями, которые </w:t>
      </w:r>
      <w:r>
        <w:rPr>
          <w:rStyle w:val="1_1193"/>
          <w:rFonts w:ascii="Times New Roman" w:hAnsi="Times New Roman" w:cs="Times New Roman"/>
          <w:sz w:val="28"/>
          <w:szCs w:val="28"/>
        </w:rPr>
        <w:t xml:space="preserve">обычно</w:t>
      </w:r>
      <w:r>
        <w:rPr>
          <w:rFonts w:ascii="Times New Roman" w:hAnsi="Times New Roman" w:cs="Times New Roman"/>
          <w:sz w:val="28"/>
          <w:szCs w:val="28"/>
        </w:rPr>
        <w:t xml:space="preserve"> попадают в этот класс.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right="540"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по сертификации халяль должна понимать, что не все организации определенного сектора всегда попадут в один и тот же класс сложности. Орган по сертификации халяль должен допускать гибкость в про</w:t>
      </w:r>
      <w:r>
        <w:rPr>
          <w:rFonts w:ascii="Times New Roman" w:hAnsi="Times New Roman" w:cs="Times New Roman"/>
          <w:sz w:val="28"/>
          <w:szCs w:val="28"/>
        </w:rPr>
        <w:t xml:space="preserve">цессе рассмотрения договора, чтобы специфика деятельность организации обязательно учитывалась при определении класса сложности. Например, хотя многие организации, работающие в секторе химического производства, должны быть классифицированы как организации «</w:t>
      </w:r>
      <w:r>
        <w:rPr>
          <w:rStyle w:val="1_1193"/>
          <w:rFonts w:ascii="Times New Roman" w:hAnsi="Times New Roman" w:cs="Times New Roman"/>
          <w:sz w:val="28"/>
          <w:szCs w:val="28"/>
        </w:rPr>
        <w:t xml:space="preserve">высокого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», организация, которая занимается только смешиванием без химических реакций, и/или без большого количества сырья или опасного сырья, и/или без глубокой переработки могут классифицироваться как организации «</w:t>
      </w:r>
      <w:r>
        <w:rPr>
          <w:rStyle w:val="1_1193"/>
          <w:rFonts w:ascii="Times New Roman" w:hAnsi="Times New Roman" w:cs="Times New Roman"/>
          <w:sz w:val="28"/>
          <w:szCs w:val="28"/>
        </w:rPr>
        <w:t xml:space="preserve">среднего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» или даже «</w:t>
      </w:r>
      <w:r>
        <w:rPr>
          <w:rStyle w:val="1_1193"/>
          <w:rFonts w:ascii="Times New Roman" w:hAnsi="Times New Roman" w:cs="Times New Roman"/>
          <w:sz w:val="28"/>
          <w:szCs w:val="28"/>
        </w:rPr>
        <w:t xml:space="preserve">низкого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98"/>
        <w:ind w:right="540" w:firstLine="0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атрибуты системы, процессов и продуктов/услуг организации должны быть рассмотрены и должна быть сделана качественная корректировка для тех факторов, которые могли б</w:t>
      </w:r>
      <w:r>
        <w:rPr>
          <w:rFonts w:ascii="Times New Roman" w:hAnsi="Times New Roman" w:cs="Times New Roman"/>
          <w:sz w:val="28"/>
          <w:szCs w:val="28"/>
        </w:rPr>
        <w:t xml:space="preserve">ы подтвердить более или менее продолжительное время аудита для целей эффективного проведения аудита. Дополнительные факторы могут уравновешиваться за счет вычитаемых факторов. Во всех случаях, когда вносятся корректировки в срок, предусмотренный в Таблице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продолжительности аудита, должно быть предоставлено достаточно доказательств и регистрационных данных для обоснования внесенных изменений.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201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  <w:framePr w:w="10330" w:wrap="notBeside" w:vAnchor="text" w:hAnchor="page" w:x="1228" w:y="1"/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 xml:space="preserve">-  Класс сложности и виды отраслей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1201"/>
        <w:spacing w:before="0" w:beforeAutospacing="0" w:after="0" w:afterAutospacing="0" w:line="30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  <w:framePr w:w="10330" w:wrap="notBeside" w:vAnchor="text" w:hAnchor="page" w:x="1228" w:y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8290"/>
      </w:tblGrid>
      <w:tr>
        <w:trPr>
          <w:jc w:val="center"/>
          <w:trHeight w:val="8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1_1198"/>
              <w:ind w:left="14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Style w:val="1_1194"/>
                <w:rFonts w:ascii="Times New Roman" w:hAnsi="Times New Roman" w:cs="Times New Roman"/>
                <w:sz w:val="28"/>
                <w:szCs w:val="28"/>
              </w:rPr>
              <w:t xml:space="preserve">Класс 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90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jc w:val="center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Style w:val="1_1194"/>
                <w:rFonts w:ascii="Times New Roman" w:hAnsi="Times New Roman" w:cs="Times New Roman"/>
                <w:sz w:val="28"/>
                <w:szCs w:val="28"/>
              </w:rPr>
              <w:t xml:space="preserve">Виды отраслей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13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1_1198"/>
              <w:ind w:left="14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Style w:val="1_1193"/>
                <w:rFonts w:ascii="Times New Roman" w:hAnsi="Times New Roman" w:cs="Times New Roman"/>
                <w:sz w:val="28"/>
                <w:szCs w:val="28"/>
              </w:rPr>
              <w:t xml:space="preserve">Очень высокий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90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отнесенные к другим категориям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и фармацевтические вещества, переработанные мясопродукты, генетически модифицированные продукты, пищевые добавки, биокультуры, косметические вещества, технологические пищевые добавки и микроорганизмы.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88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1_1198"/>
              <w:ind w:left="14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Style w:val="1_1193"/>
                <w:rFonts w:ascii="Times New Roman" w:hAnsi="Times New Roman" w:cs="Times New Roman"/>
                <w:sz w:val="28"/>
                <w:szCs w:val="28"/>
              </w:rPr>
              <w:t xml:space="preserve">Высокий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90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убитых животных и птиц; сырная продукция; печенье; снеки; растительное масло; напитки; гостиницы; рестораны; пищевые добавки; моющие средства; упаковочный материал, текстиль, сфера исламских финансовых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68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1_1198"/>
              <w:ind w:left="14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Style w:val="1_1193"/>
                <w:rFonts w:ascii="Times New Roman" w:hAnsi="Times New Roman" w:cs="Times New Roman"/>
                <w:sz w:val="28"/>
                <w:szCs w:val="28"/>
              </w:rPr>
              <w:t xml:space="preserve"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90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молочные продукты; рыбные продукты; продукты из яиц; пчеловодство; пряности; садоводческая продукция; консервированные фрукты; 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ервированные овощи; консервированные продукты; макаронные изделия; сахар; корма для животных; корм для рыб; водоснабжение; разработка продукции, процесса и оборудования; ветеринарные услуги; технологическое оборудование; торговые автоматы, кожаные изделия.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114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0" w:type="dxa"/>
            <w:textDirection w:val="lrTb"/>
            <w:noWrap w:val="false"/>
          </w:tcPr>
          <w:p>
            <w:pPr>
              <w:pStyle w:val="1_1198"/>
              <w:ind w:left="140" w:firstLine="0"/>
              <w:jc w:val="left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Style w:val="1_1193"/>
                <w:rFonts w:ascii="Times New Roman" w:hAnsi="Times New Roman" w:cs="Times New Roman"/>
                <w:sz w:val="28"/>
                <w:szCs w:val="28"/>
              </w:rPr>
              <w:t xml:space="preserve">Низкий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0" w:type="dxa"/>
            <w:vAlign w:val="center"/>
            <w:textDirection w:val="lrTb"/>
            <w:noWrap w:val="false"/>
          </w:tcPr>
          <w:p>
            <w:pPr>
              <w:pStyle w:val="1_1198"/>
              <w:ind w:firstLine="0"/>
              <w:spacing w:before="0" w:beforeAutospacing="0" w:after="0" w:afterAutospacing="0" w:line="30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  <w:framePr w:w="10330" w:wrap="notBeside" w:vAnchor="text" w:hAnchor="page" w:x="1228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рыба; продукты из яиц; молочные продукты; рыболовство; охота; ловля; фрукты; овощи; зерновые; свежие фрукты и свежевыжатые соки; питьевая вода; мука; соль; магазины розничной торговли; магазины; оптовая торговля, транспортировка и хранение.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before="0" w:beforeAutospacing="0" w:after="0" w:afterAutospacing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1_1196"/>
        <w:ind w:left="200"/>
        <w:shd w:val="clear" w:color="auto" w:fill="auto"/>
        <w:tabs>
          <w:tab w:val="left" w:pos="766" w:leader="none"/>
        </w:tabs>
      </w:pPr>
      <w:r>
        <w:footnoteRef/>
      </w:r>
      <w:r>
        <w:tab/>
      </w:r>
      <w:r>
        <w:rPr>
          <w:rStyle w:val="1_1192"/>
        </w:rPr>
        <w:t xml:space="preserve">Высокий</w:t>
      </w:r>
      <w:r>
        <w:t xml:space="preserve"> - большое количество процессов значимой природы (как правило, организации,</w:t>
      </w:r>
      <w:r/>
      <w:r/>
    </w:p>
  </w:footnote>
  <w:footnote w:id="3">
    <w:p>
      <w:pPr>
        <w:pStyle w:val="1_1196"/>
        <w:ind w:left="760"/>
        <w:shd w:val="clear" w:color="auto" w:fill="auto"/>
        <w:tabs>
          <w:tab w:val="left" w:pos="1326" w:leader="none"/>
        </w:tabs>
      </w:pPr>
      <w:r>
        <w:t xml:space="preserve">занятые производством или переработкой, со значительными рисками, не халяльного характера.</w:t>
      </w: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1192" w:customStyle="1">
    <w:name w:val="Сноска + Курсив"/>
    <w:basedOn w:val="858"/>
    <w:rPr>
      <w:rFonts w:ascii="Arial" w:hAnsi="Arial" w:eastAsia="Arial" w:cs="Arial"/>
      <w:b w:val="0"/>
      <w:bCs w:val="0"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1_1194" w:customStyle="1">
    <w:name w:val="Основной текст (2) + Полужирный"/>
    <w:basedOn w:val="874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1_1195" w:customStyle="1">
    <w:name w:val="Основной текст (2) + 8;5 pt;Полужирный"/>
    <w:basedOn w:val="874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styleId="1_1193" w:customStyle="1">
    <w:name w:val="Основной текст (2) + Курсив"/>
    <w:basedOn w:val="874"/>
    <w:rPr>
      <w:rFonts w:ascii="Arial" w:hAnsi="Arial" w:eastAsia="Arial" w:cs="Arial"/>
      <w:b w:val="0"/>
      <w:bCs w:val="0"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paragraph" w:styleId="1_1196" w:customStyle="1">
    <w:name w:val="Сноска"/>
    <w:basedOn w:val="853"/>
    <w:link w:val="858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3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1_1197" w:customStyle="1">
    <w:name w:val="Заголовок №3"/>
    <w:basedOn w:val="853"/>
    <w:link w:val="86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1_1199" w:customStyle="1">
    <w:name w:val="Заголовок №4"/>
    <w:basedOn w:val="853"/>
    <w:link w:val="876"/>
    <w:pPr>
      <w:contextualSpacing w:val="0"/>
      <w:ind w:left="0" w:right="0" w:hanging="620"/>
      <w:jc w:val="both"/>
      <w:keepLines w:val="0"/>
      <w:keepNext w:val="0"/>
      <w:pageBreakBefore w:val="0"/>
      <w:spacing w:before="66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1_1198" w:customStyle="1">
    <w:name w:val="Основной текст (2)"/>
    <w:basedOn w:val="853"/>
    <w:link w:val="874"/>
    <w:pPr>
      <w:contextualSpacing w:val="0"/>
      <w:ind w:left="0" w:right="0" w:hanging="820"/>
      <w:jc w:val="both"/>
      <w:keepLines w:val="0"/>
      <w:keepNext w:val="0"/>
      <w:pageBreakBefore w:val="0"/>
      <w:spacing w:before="360" w:beforeAutospacing="0" w:after="180" w:afterAutospacing="0" w:line="23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1_1200" w:customStyle="1">
    <w:name w:val="Основной текст (8)"/>
    <w:basedOn w:val="853"/>
    <w:link w:val="878"/>
    <w:pPr>
      <w:contextualSpacing w:val="0"/>
      <w:ind w:left="0" w:right="0" w:hanging="620"/>
      <w:jc w:val="both"/>
      <w:keepLines w:val="0"/>
      <w:keepNext w:val="0"/>
      <w:pageBreakBefore w:val="0"/>
      <w:spacing w:before="0" w:beforeAutospacing="0" w:after="180" w:afterAutospacing="0" w:line="23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1_1201" w:customStyle="1">
    <w:name w:val="Подпись к таблице"/>
    <w:basedOn w:val="853"/>
    <w:link w:val="88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2023-05-12T07:53:21Z</dcterms:modified>
</cp:coreProperties>
</file>