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  <w:lang w:eastAsia="zh-CN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36576" distB="36576" distL="36576" distR="36576" simplePos="0" relativeHeight="524288" behindDoc="0" locked="0" layoutInCell="1" allowOverlap="1">
                <wp:simplePos x="0" y="0"/>
                <wp:positionH relativeFrom="column">
                  <wp:posOffset>-238124</wp:posOffset>
                </wp:positionH>
                <wp:positionV relativeFrom="paragraph">
                  <wp:posOffset>-89534</wp:posOffset>
                </wp:positionV>
                <wp:extent cx="2781300" cy="842010"/>
                <wp:effectExtent l="0" t="0" r="0" b="0"/>
                <wp:wrapNone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7565810" name=""/>
                        <pic:cNvPicPr/>
                        <pic:nvPr/>
                      </pic:nvPicPr>
                      <pic:blipFill>
                        <a:blip r:embed="rId8"/>
                        <a:srcRect l="0" t="0" r="64063" b="91812"/>
                        <a:stretch/>
                      </pic:blipFill>
                      <pic:spPr bwMode="auto">
                        <a:xfrm>
                          <a:off x="0" y="0"/>
                          <a:ext cx="2781299" cy="842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524288;o:allowoverlap:true;o:allowincell:true;mso-position-horizontal-relative:text;margin-left:-18.75pt;mso-position-horizontal:absolute;mso-position-vertical-relative:text;margin-top:-7.05pt;mso-position-vertical:absolute;width:219.00pt;height:66.30pt;mso-wrap-distance-left:2.88pt;mso-wrap-distance-top:2.88pt;mso-wrap-distance-right:2.88pt;mso-wrap-distance-bottom:2.88pt;" stroked="f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sz w:val="18"/>
        </w:rPr>
        <w:t xml:space="preserve">ОРГАН ПО СЕРТИФИКАЦИИ </w:t>
      </w:r>
      <w:r>
        <w:rPr>
          <w:rFonts w:ascii="Times New Roman" w:hAnsi="Times New Roman" w:cs="Times New Roman"/>
          <w:sz w:val="18"/>
        </w:rPr>
        <w:br/>
      </w:r>
      <w:r>
        <w:rPr>
          <w:rFonts w:ascii="Times New Roman" w:hAnsi="Times New Roman" w:cs="Times New Roman"/>
          <w:sz w:val="18"/>
        </w:rPr>
        <w:t xml:space="preserve">АВТОНОМНОЙ НЕКОММЕРЧЕСКОЙ ОРГАНИЗАЦИИ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3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«РОССИЙСКАЯ СИСТЕМА КАЧЕСТВА»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3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Аттестат аккредитации № RA.RU.11АБ45 выдан от 19.08.2016 г. </w:t>
      </w:r>
      <w:r>
        <w:rPr>
          <w:rFonts w:ascii="Times New Roman" w:hAnsi="Times New Roman" w:cs="Times New Roman"/>
          <w:sz w:val="18"/>
        </w:rPr>
        <w:br/>
      </w:r>
      <w:r>
        <w:rPr>
          <w:rFonts w:ascii="Times New Roman" w:hAnsi="Times New Roman" w:cs="Times New Roman"/>
          <w:sz w:val="18"/>
        </w:rPr>
        <w:t xml:space="preserve">Федеральной службой по аккреди</w:t>
      </w:r>
      <w:r>
        <w:rPr>
          <w:rFonts w:ascii="Times New Roman" w:hAnsi="Times New Roman" w:cs="Times New Roman"/>
          <w:sz w:val="18"/>
        </w:rPr>
        <w:t xml:space="preserve">тации 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3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119071, Россия, г. Москва, ул. Орджоникидзе., д. 12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32"/>
        <w:jc w:val="right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 w:val="18"/>
        </w:rPr>
        <w:t xml:space="preserve">https://roskachestvo.gov.ru/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  <w:szCs w:val="18"/>
        </w:rPr>
      </w:r>
    </w:p>
    <w:p>
      <w:r>
        <w:rPr>
          <w:sz w:val="22"/>
          <w:szCs w:val="22"/>
          <w:lang w:eastAsia="zh-CN"/>
        </w:rPr>
      </w:r>
      <w:r/>
    </w:p>
    <w:p>
      <w:pPr>
        <w:pStyle w:val="832"/>
        <w:jc w:val="left"/>
        <w:rPr>
          <w:rFonts w:ascii="Times New Roman" w:hAnsi="Times New Roman" w:cs="Times New Roman"/>
          <w:b/>
          <w:bCs/>
          <w:sz w:val="32"/>
          <w:szCs w:val="32"/>
          <w:highlight w:val="non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none"/>
        </w:rPr>
      </w:r>
      <w:r>
        <w:rPr>
          <w:rFonts w:ascii="Times New Roman" w:hAnsi="Times New Roman" w:cs="Times New Roman"/>
          <w:b/>
          <w:bCs/>
          <w:sz w:val="32"/>
          <w:szCs w:val="32"/>
          <w:highlight w:val="none"/>
        </w:rPr>
      </w:r>
      <w:r>
        <w:rPr>
          <w:rFonts w:ascii="Times New Roman" w:hAnsi="Times New Roman" w:cs="Times New Roman"/>
          <w:b/>
          <w:bCs/>
          <w:sz w:val="32"/>
          <w:szCs w:val="32"/>
          <w:highlight w:val="none"/>
        </w:rPr>
      </w:r>
    </w:p>
    <w:p>
      <w:pPr>
        <w:pStyle w:val="83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Перечень документов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</w:r>
      <w:r>
        <w:rPr>
          <w:rFonts w:ascii="Times New Roman" w:hAnsi="Times New Roman" w:cs="Times New Roman"/>
          <w:b/>
          <w:bCs/>
          <w:sz w:val="32"/>
          <w:szCs w:val="32"/>
        </w:rPr>
      </w:r>
    </w:p>
    <w:p>
      <w:pPr>
        <w:pStyle w:val="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сертификации продукции на соответствие требованиям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ГОСТ Р 70575-2022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«Продукция и продовольствие с улучшенными характеристиками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ОВОЩИ ТЕПЛИЧНЫЕ.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Общие технические требования и правила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tbl>
      <w:tblPr>
        <w:tblStyle w:val="685"/>
        <w:tblW w:w="0" w:type="auto"/>
        <w:tblLayout w:type="fixed"/>
        <w:tblLook w:val="04A0" w:firstRow="1" w:lastRow="0" w:firstColumn="1" w:lastColumn="0" w:noHBand="0" w:noVBand="1"/>
      </w:tblPr>
      <w:tblGrid>
        <w:gridCol w:w="850"/>
        <w:gridCol w:w="7370"/>
        <w:gridCol w:w="1135"/>
      </w:tblGrid>
      <w:tr>
        <w:trPr/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73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7370" w:type="dxa"/>
            <w:vMerge w:val="restart"/>
            <w:textDirection w:val="lrTb"/>
            <w:noWrap w:val="false"/>
          </w:tcPr>
          <w:p>
            <w:pPr>
              <w:pStyle w:val="8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происхождении семян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135" w:type="dxa"/>
            <w:vMerge w:val="restart"/>
            <w:textDirection w:val="lrTb"/>
            <w:noWrap w:val="false"/>
          </w:tcPr>
          <w:p>
            <w:pPr>
              <w:pStyle w:val="832"/>
            </w:pPr>
            <w:r/>
            <w:r/>
          </w:p>
        </w:tc>
      </w:tr>
      <w:tr>
        <w:trPr>
          <w:trHeight w:val="955"/>
        </w:trPr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7370" w:type="dxa"/>
            <w:vMerge w:val="restart"/>
            <w:textDirection w:val="lrTb"/>
            <w:noWrap w:val="false"/>
          </w:tcPr>
          <w:p>
            <w:pPr>
              <w:pStyle w:val="8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Информация о применении семян произведенных без  использования методов генной инженерии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135" w:type="dxa"/>
            <w:vMerge w:val="restart"/>
            <w:textDirection w:val="lrTb"/>
            <w:noWrap w:val="false"/>
          </w:tcPr>
          <w:p>
            <w:pPr>
              <w:pStyle w:val="832"/>
            </w:pPr>
            <w:r/>
            <w:r/>
          </w:p>
        </w:tc>
      </w:tr>
      <w:tr>
        <w:trPr/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7370" w:type="dxa"/>
            <w:vMerge w:val="restart"/>
            <w:textDirection w:val="lrTb"/>
            <w:noWrap w:val="false"/>
          </w:tcPr>
          <w:p>
            <w:pPr>
              <w:pStyle w:val="8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Информация об используемых биологических средствах защиты, минеральных удобрениях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135" w:type="dxa"/>
            <w:vMerge w:val="restart"/>
            <w:textDirection w:val="lrTb"/>
            <w:noWrap w:val="false"/>
          </w:tcPr>
          <w:p>
            <w:pPr>
              <w:pStyle w:val="832"/>
            </w:pPr>
            <w:r/>
            <w:r/>
          </w:p>
        </w:tc>
      </w:tr>
      <w:tr>
        <w:trPr/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7370" w:type="dxa"/>
            <w:vMerge w:val="restart"/>
            <w:textDirection w:val="lrTb"/>
            <w:noWrap w:val="false"/>
          </w:tcPr>
          <w:p>
            <w:pPr>
              <w:pStyle w:val="8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Информация о воде, используемой при выращивании овощных культур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135" w:type="dxa"/>
            <w:vMerge w:val="restart"/>
            <w:textDirection w:val="lrTb"/>
            <w:noWrap w:val="false"/>
          </w:tcPr>
          <w:p>
            <w:pPr>
              <w:pStyle w:val="832"/>
            </w:pPr>
            <w:r/>
            <w:r/>
          </w:p>
        </w:tc>
      </w:tr>
      <w:tr>
        <w:trPr/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7370" w:type="dxa"/>
            <w:vMerge w:val="restart"/>
            <w:textDirection w:val="lrTb"/>
            <w:noWrap w:val="false"/>
          </w:tcPr>
          <w:p>
            <w:pPr>
              <w:pStyle w:val="8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Сведения о субстрате, применяемого для выращивания овощных культур (субстрат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должен соответствовать требованиям  </w:t>
            </w:r>
            <w:hyperlink r:id="rId9" w:tooltip="kodeks://link/d?nd=1200073882&amp;prevdoc=1200194968&amp;point=mark=000000000000000000000000000000000000000000000000007D20K3" w:history="1">
              <w:r>
                <w:rPr>
                  <w:rStyle w:val="811"/>
                  <w:rFonts w:ascii="Times New Roman" w:hAnsi="Times New Roman" w:eastAsia="Times New Roman" w:cs="Times New Roman"/>
                  <w:color w:val="000000" w:themeColor="text1"/>
                  <w:sz w:val="28"/>
                  <w:szCs w:val="28"/>
                  <w:u w:val="none"/>
                </w:rPr>
                <w:t xml:space="preserve">ГОСТ Р 53380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u w:val="none"/>
              </w:rPr>
              <w:t xml:space="preserve">, </w:t>
            </w:r>
            <w:hyperlink r:id="rId10" w:tooltip="kodeks://link/d?nd=1200074237&amp;prevdoc=1200194968&amp;point=mark=000000000000000000000000000000000000000000000000007D20K3" w:history="1">
              <w:r>
                <w:rPr>
                  <w:rStyle w:val="811"/>
                  <w:rFonts w:ascii="Times New Roman" w:hAnsi="Times New Roman" w:eastAsia="Times New Roman" w:cs="Times New Roman"/>
                  <w:color w:val="000000" w:themeColor="text1"/>
                  <w:sz w:val="28"/>
                  <w:szCs w:val="28"/>
                  <w:u w:val="none"/>
                </w:rPr>
                <w:t xml:space="preserve">ГОСТ Р 53381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135" w:type="dxa"/>
            <w:vMerge w:val="restart"/>
            <w:textDirection w:val="lrTb"/>
            <w:noWrap w:val="false"/>
          </w:tcPr>
          <w:p>
            <w:pPr>
              <w:pStyle w:val="832"/>
            </w:pPr>
            <w:r/>
            <w:r/>
          </w:p>
        </w:tc>
      </w:tr>
      <w:tr>
        <w:trPr/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7370" w:type="dxa"/>
            <w:vMerge w:val="restart"/>
            <w:textDirection w:val="lrTb"/>
            <w:noWrap w:val="false"/>
          </w:tcPr>
          <w:p>
            <w:pPr>
              <w:pStyle w:val="8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Информация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 о параллельных методах выращивания тепличных овощей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tcW w:w="1135" w:type="dxa"/>
            <w:vMerge w:val="restart"/>
            <w:textDirection w:val="lrTb"/>
            <w:noWrap w:val="false"/>
          </w:tcPr>
          <w:p>
            <w:pPr>
              <w:pStyle w:val="832"/>
            </w:pPr>
            <w:r/>
            <w:r/>
          </w:p>
        </w:tc>
      </w:tr>
      <w:tr>
        <w:trPr/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7370" w:type="dxa"/>
            <w:vMerge w:val="restart"/>
            <w:textDirection w:val="lrTb"/>
            <w:noWrap w:val="false"/>
          </w:tcPr>
          <w:p>
            <w:pPr>
              <w:pStyle w:val="8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Информация о методах внесения минеральных удобрений (в случае их применения)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tcW w:w="1135" w:type="dxa"/>
            <w:vMerge w:val="restart"/>
            <w:textDirection w:val="lrTb"/>
            <w:noWrap w:val="false"/>
          </w:tcPr>
          <w:p>
            <w:pPr>
              <w:pStyle w:val="832"/>
            </w:pPr>
            <w:r/>
            <w:r/>
          </w:p>
        </w:tc>
      </w:tr>
      <w:tr>
        <w:trPr/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7370" w:type="dxa"/>
            <w:vMerge w:val="restart"/>
            <w:textDirection w:val="lrTb"/>
            <w:noWrap w:val="false"/>
          </w:tcPr>
          <w:p>
            <w:pPr>
              <w:pStyle w:val="8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Сведения о системе полива, есть ли система управления поливами и микроклиматом в теплицах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135" w:type="dxa"/>
            <w:vMerge w:val="restart"/>
            <w:textDirection w:val="lrTb"/>
            <w:noWrap w:val="false"/>
          </w:tcPr>
          <w:p>
            <w:pPr>
              <w:pStyle w:val="832"/>
            </w:pPr>
            <w:r/>
            <w:r/>
          </w:p>
        </w:tc>
      </w:tr>
      <w:tr>
        <w:trPr/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7370" w:type="dxa"/>
            <w:vMerge w:val="restart"/>
            <w:textDirection w:val="lrTb"/>
            <w:noWrap w:val="false"/>
          </w:tcPr>
          <w:p>
            <w:pPr>
              <w:pStyle w:val="8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Опыление растений (естественное, искусственное)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tcW w:w="1135" w:type="dxa"/>
            <w:vMerge w:val="restart"/>
            <w:textDirection w:val="lrTb"/>
            <w:noWrap w:val="false"/>
          </w:tcPr>
          <w:p>
            <w:pPr>
              <w:pStyle w:val="832"/>
            </w:pPr>
            <w:r/>
            <w:r/>
          </w:p>
        </w:tc>
      </w:tr>
      <w:tr>
        <w:trPr/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7370" w:type="dxa"/>
            <w:vMerge w:val="restart"/>
            <w:textDirection w:val="lrTb"/>
            <w:noWrap w:val="false"/>
          </w:tcPr>
          <w:p>
            <w:pPr>
              <w:pStyle w:val="8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Система защиты растений с использованием физических приемов для защиты и борьбы с вредителями (москитные сетки, ловушки, дезориентаторы)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135" w:type="dxa"/>
            <w:vMerge w:val="restart"/>
            <w:textDirection w:val="lrTb"/>
            <w:noWrap w:val="false"/>
          </w:tcPr>
          <w:p>
            <w:pPr>
              <w:pStyle w:val="832"/>
            </w:pPr>
            <w:r/>
            <w:r/>
          </w:p>
        </w:tc>
      </w:tr>
      <w:tr>
        <w:trPr/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7370" w:type="dxa"/>
            <w:vMerge w:val="restart"/>
            <w:textDirection w:val="lrTb"/>
            <w:noWrap w:val="false"/>
          </w:tcPr>
          <w:p>
            <w:pPr>
              <w:pStyle w:val="8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Применяемые дезинфицирующие средства (дезинфицирующие средства могут применяться на основе перекиси водорода и органических кислот, а также веществ на основе хлора в концентрациях не более 5% по действующему веществу)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135" w:type="dxa"/>
            <w:vMerge w:val="restart"/>
            <w:textDirection w:val="lrTb"/>
            <w:noWrap w:val="false"/>
          </w:tcPr>
          <w:p>
            <w:pPr>
              <w:pStyle w:val="832"/>
            </w:pPr>
            <w:r/>
            <w:r/>
          </w:p>
        </w:tc>
      </w:tr>
      <w:tr>
        <w:trPr/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7370" w:type="dxa"/>
            <w:vMerge w:val="restart"/>
            <w:textDirection w:val="lrTb"/>
            <w:noWrap w:val="false"/>
          </w:tcPr>
          <w:p>
            <w:pPr>
              <w:pStyle w:val="8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Информация об отходах  производства и потребления (сбор, накопление, утилизация, обезвреживание, транспортирования, хранение и захоронение)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135" w:type="dxa"/>
            <w:vMerge w:val="restart"/>
            <w:textDirection w:val="lrTb"/>
            <w:noWrap w:val="false"/>
          </w:tcPr>
          <w:p>
            <w:pPr>
              <w:pStyle w:val="832"/>
            </w:pPr>
            <w:r/>
            <w:r/>
          </w:p>
        </w:tc>
      </w:tr>
      <w:tr>
        <w:trPr/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7370" w:type="dxa"/>
            <w:vMerge w:val="restart"/>
            <w:textDirection w:val="lrTb"/>
            <w:noWrap w:val="false"/>
          </w:tcPr>
          <w:p>
            <w:pPr>
              <w:pStyle w:val="8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Информация по обработке овощей ионизирующим излучением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135" w:type="dxa"/>
            <w:vMerge w:val="restart"/>
            <w:textDirection w:val="lrTb"/>
            <w:noWrap w:val="false"/>
          </w:tcPr>
          <w:p>
            <w:pPr>
              <w:pStyle w:val="832"/>
            </w:pPr>
            <w:r/>
            <w:r/>
          </w:p>
        </w:tc>
      </w:tr>
      <w:tr>
        <w:trPr/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7370" w:type="dxa"/>
            <w:vMerge w:val="restart"/>
            <w:textDirection w:val="lrTb"/>
            <w:noWrap w:val="false"/>
          </w:tcPr>
          <w:p>
            <w:pPr>
              <w:pStyle w:val="832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Упаковка применяемая для упаковывания тепличных овощей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tcW w:w="1135" w:type="dxa"/>
            <w:vMerge w:val="restart"/>
            <w:textDirection w:val="lrTb"/>
            <w:noWrap w:val="false"/>
          </w:tcPr>
          <w:p>
            <w:pPr>
              <w:pStyle w:val="832"/>
            </w:pPr>
            <w:r/>
            <w:r/>
          </w:p>
        </w:tc>
      </w:tr>
      <w:tr>
        <w:trPr/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7370" w:type="dxa"/>
            <w:vMerge w:val="restart"/>
            <w:textDirection w:val="lrTb"/>
            <w:noWrap w:val="false"/>
          </w:tcPr>
          <w:p>
            <w:pPr>
              <w:pStyle w:val="832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Маркировка продукции с улучшенными характеристиками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tcW w:w="1135" w:type="dxa"/>
            <w:vMerge w:val="restart"/>
            <w:textDirection w:val="lrTb"/>
            <w:noWrap w:val="false"/>
          </w:tcPr>
          <w:p>
            <w:pPr>
              <w:pStyle w:val="832"/>
            </w:pPr>
            <w:r/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3">
    <w:name w:val="Heading 1"/>
    <w:basedOn w:val="829"/>
    <w:next w:val="829"/>
    <w:link w:val="65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4">
    <w:name w:val="Heading 1 Char"/>
    <w:link w:val="653"/>
    <w:uiPriority w:val="9"/>
    <w:rPr>
      <w:rFonts w:ascii="Arial" w:hAnsi="Arial" w:eastAsia="Arial" w:cs="Arial"/>
      <w:sz w:val="40"/>
      <w:szCs w:val="40"/>
    </w:rPr>
  </w:style>
  <w:style w:type="paragraph" w:styleId="655">
    <w:name w:val="Heading 2"/>
    <w:basedOn w:val="829"/>
    <w:next w:val="829"/>
    <w:link w:val="65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6">
    <w:name w:val="Heading 2 Char"/>
    <w:link w:val="655"/>
    <w:uiPriority w:val="9"/>
    <w:rPr>
      <w:rFonts w:ascii="Arial" w:hAnsi="Arial" w:eastAsia="Arial" w:cs="Arial"/>
      <w:sz w:val="34"/>
    </w:rPr>
  </w:style>
  <w:style w:type="paragraph" w:styleId="657">
    <w:name w:val="Heading 3"/>
    <w:basedOn w:val="829"/>
    <w:next w:val="829"/>
    <w:link w:val="65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8">
    <w:name w:val="Heading 3 Char"/>
    <w:link w:val="657"/>
    <w:uiPriority w:val="9"/>
    <w:rPr>
      <w:rFonts w:ascii="Arial" w:hAnsi="Arial" w:eastAsia="Arial" w:cs="Arial"/>
      <w:sz w:val="30"/>
      <w:szCs w:val="30"/>
    </w:rPr>
  </w:style>
  <w:style w:type="paragraph" w:styleId="659">
    <w:name w:val="Heading 4"/>
    <w:basedOn w:val="829"/>
    <w:next w:val="829"/>
    <w:link w:val="66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0">
    <w:name w:val="Heading 4 Char"/>
    <w:link w:val="659"/>
    <w:uiPriority w:val="9"/>
    <w:rPr>
      <w:rFonts w:ascii="Arial" w:hAnsi="Arial" w:eastAsia="Arial" w:cs="Arial"/>
      <w:b/>
      <w:bCs/>
      <w:sz w:val="26"/>
      <w:szCs w:val="26"/>
    </w:rPr>
  </w:style>
  <w:style w:type="paragraph" w:styleId="661">
    <w:name w:val="Heading 5"/>
    <w:basedOn w:val="829"/>
    <w:next w:val="829"/>
    <w:link w:val="66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2">
    <w:name w:val="Heading 5 Char"/>
    <w:link w:val="661"/>
    <w:uiPriority w:val="9"/>
    <w:rPr>
      <w:rFonts w:ascii="Arial" w:hAnsi="Arial" w:eastAsia="Arial" w:cs="Arial"/>
      <w:b/>
      <w:bCs/>
      <w:sz w:val="24"/>
      <w:szCs w:val="24"/>
    </w:rPr>
  </w:style>
  <w:style w:type="paragraph" w:styleId="663">
    <w:name w:val="Heading 6"/>
    <w:basedOn w:val="829"/>
    <w:next w:val="829"/>
    <w:link w:val="66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4">
    <w:name w:val="Heading 6 Char"/>
    <w:link w:val="663"/>
    <w:uiPriority w:val="9"/>
    <w:rPr>
      <w:rFonts w:ascii="Arial" w:hAnsi="Arial" w:eastAsia="Arial" w:cs="Arial"/>
      <w:b/>
      <w:bCs/>
      <w:sz w:val="22"/>
      <w:szCs w:val="22"/>
    </w:rPr>
  </w:style>
  <w:style w:type="paragraph" w:styleId="665">
    <w:name w:val="Heading 7"/>
    <w:basedOn w:val="829"/>
    <w:next w:val="829"/>
    <w:link w:val="66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6">
    <w:name w:val="Heading 7 Char"/>
    <w:link w:val="66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7">
    <w:name w:val="Heading 8"/>
    <w:basedOn w:val="829"/>
    <w:next w:val="829"/>
    <w:link w:val="66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8">
    <w:name w:val="Heading 8 Char"/>
    <w:link w:val="667"/>
    <w:uiPriority w:val="9"/>
    <w:rPr>
      <w:rFonts w:ascii="Arial" w:hAnsi="Arial" w:eastAsia="Arial" w:cs="Arial"/>
      <w:i/>
      <w:iCs/>
      <w:sz w:val="22"/>
      <w:szCs w:val="22"/>
    </w:rPr>
  </w:style>
  <w:style w:type="paragraph" w:styleId="669">
    <w:name w:val="Heading 9"/>
    <w:basedOn w:val="829"/>
    <w:next w:val="829"/>
    <w:link w:val="67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0">
    <w:name w:val="Heading 9 Char"/>
    <w:link w:val="669"/>
    <w:uiPriority w:val="9"/>
    <w:rPr>
      <w:rFonts w:ascii="Arial" w:hAnsi="Arial" w:eastAsia="Arial" w:cs="Arial"/>
      <w:i/>
      <w:iCs/>
      <w:sz w:val="21"/>
      <w:szCs w:val="21"/>
    </w:rPr>
  </w:style>
  <w:style w:type="paragraph" w:styleId="671">
    <w:name w:val="Title"/>
    <w:basedOn w:val="829"/>
    <w:next w:val="829"/>
    <w:link w:val="67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2">
    <w:name w:val="Title Char"/>
    <w:link w:val="671"/>
    <w:uiPriority w:val="10"/>
    <w:rPr>
      <w:sz w:val="48"/>
      <w:szCs w:val="48"/>
    </w:rPr>
  </w:style>
  <w:style w:type="paragraph" w:styleId="673">
    <w:name w:val="Subtitle"/>
    <w:basedOn w:val="829"/>
    <w:next w:val="829"/>
    <w:link w:val="674"/>
    <w:uiPriority w:val="11"/>
    <w:qFormat/>
    <w:pPr>
      <w:spacing w:before="200" w:after="200"/>
    </w:pPr>
    <w:rPr>
      <w:sz w:val="24"/>
      <w:szCs w:val="24"/>
    </w:rPr>
  </w:style>
  <w:style w:type="character" w:styleId="674">
    <w:name w:val="Subtitle Char"/>
    <w:link w:val="673"/>
    <w:uiPriority w:val="11"/>
    <w:rPr>
      <w:sz w:val="24"/>
      <w:szCs w:val="24"/>
    </w:rPr>
  </w:style>
  <w:style w:type="paragraph" w:styleId="675">
    <w:name w:val="Quote"/>
    <w:basedOn w:val="829"/>
    <w:next w:val="829"/>
    <w:link w:val="676"/>
    <w:uiPriority w:val="29"/>
    <w:qFormat/>
    <w:pPr>
      <w:ind w:left="720" w:right="720"/>
    </w:pPr>
    <w:rPr>
      <w:i/>
    </w:rPr>
  </w:style>
  <w:style w:type="character" w:styleId="676">
    <w:name w:val="Quote Char"/>
    <w:link w:val="675"/>
    <w:uiPriority w:val="29"/>
    <w:rPr>
      <w:i/>
    </w:rPr>
  </w:style>
  <w:style w:type="paragraph" w:styleId="677">
    <w:name w:val="Intense Quote"/>
    <w:basedOn w:val="829"/>
    <w:next w:val="829"/>
    <w:link w:val="67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8">
    <w:name w:val="Intense Quote Char"/>
    <w:link w:val="677"/>
    <w:uiPriority w:val="30"/>
    <w:rPr>
      <w:i/>
    </w:rPr>
  </w:style>
  <w:style w:type="paragraph" w:styleId="679">
    <w:name w:val="Header"/>
    <w:basedOn w:val="829"/>
    <w:link w:val="68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0">
    <w:name w:val="Header Char"/>
    <w:link w:val="679"/>
    <w:uiPriority w:val="99"/>
  </w:style>
  <w:style w:type="paragraph" w:styleId="681">
    <w:name w:val="Footer"/>
    <w:basedOn w:val="829"/>
    <w:link w:val="68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2">
    <w:name w:val="Footer Char"/>
    <w:link w:val="681"/>
    <w:uiPriority w:val="99"/>
  </w:style>
  <w:style w:type="paragraph" w:styleId="683">
    <w:name w:val="Caption"/>
    <w:basedOn w:val="829"/>
    <w:next w:val="82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4">
    <w:name w:val="Caption Char"/>
    <w:basedOn w:val="683"/>
    <w:link w:val="681"/>
    <w:uiPriority w:val="99"/>
  </w:style>
  <w:style w:type="table" w:styleId="685">
    <w:name w:val="Table Grid"/>
    <w:basedOn w:val="8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6">
    <w:name w:val="Table Grid Light"/>
    <w:basedOn w:val="8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Plain Table 1"/>
    <w:basedOn w:val="8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8">
    <w:name w:val="Plain Table 2"/>
    <w:basedOn w:val="8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0">
    <w:name w:val="Plain Table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Plain Table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2">
    <w:name w:val="Grid Table 1 Light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4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4">
    <w:name w:val="Grid Table 4 - Accent 1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5">
    <w:name w:val="Grid Table 4 - Accent 2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6">
    <w:name w:val="Grid Table 4 - Accent 3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7">
    <w:name w:val="Grid Table 4 - Accent 4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8">
    <w:name w:val="Grid Table 4 - Accent 5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9">
    <w:name w:val="Grid Table 4 - Accent 6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0">
    <w:name w:val="Grid Table 5 Dark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1">
    <w:name w:val="Grid Table 5 Dark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2">
    <w:name w:val="Grid Table 5 Dark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4">
    <w:name w:val="Grid Table 5 Dark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7">
    <w:name w:val="Grid Table 6 Colorful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8">
    <w:name w:val="Grid Table 6 Colorful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9">
    <w:name w:val="Grid Table 6 Colorful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0">
    <w:name w:val="Grid Table 6 Colorful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1">
    <w:name w:val="Grid Table 6 Colorful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2">
    <w:name w:val="Grid Table 6 Colorful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3">
    <w:name w:val="Grid Table 6 Colorful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7 Colorful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9">
    <w:name w:val="List Table 2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0">
    <w:name w:val="List Table 2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1">
    <w:name w:val="List Table 2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2">
    <w:name w:val="List Table 2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3">
    <w:name w:val="List Table 2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4">
    <w:name w:val="List Table 2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5">
    <w:name w:val="List Table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5 Dark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6 Colorful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7">
    <w:name w:val="List Table 6 Colorful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8">
    <w:name w:val="List Table 6 Colorful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9">
    <w:name w:val="List Table 6 Colorful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0">
    <w:name w:val="List Table 6 Colorful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1">
    <w:name w:val="List Table 6 Colorful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2">
    <w:name w:val="List Table 6 Colorful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3">
    <w:name w:val="List Table 7 Colorful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4">
    <w:name w:val="List Table 7 Colorful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5">
    <w:name w:val="List Table 7 Colorful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6">
    <w:name w:val="List Table 7 Colorful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7">
    <w:name w:val="List Table 7 Colorful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8">
    <w:name w:val="List Table 7 Colorful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89">
    <w:name w:val="List Table 7 Colorful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0">
    <w:name w:val="Lined - Accent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1">
    <w:name w:val="Lined - Accent 1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2">
    <w:name w:val="Lined - Accent 2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3">
    <w:name w:val="Lined - Accent 3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4">
    <w:name w:val="Lined - Accent 4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5">
    <w:name w:val="Lined - Accent 5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6">
    <w:name w:val="Lined - Accent 6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7">
    <w:name w:val="Bordered &amp; Lined - Accent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8">
    <w:name w:val="Bordered &amp; Lined - Accent 1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9">
    <w:name w:val="Bordered &amp; Lined - Accent 2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0">
    <w:name w:val="Bordered &amp; Lined - Accent 3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1">
    <w:name w:val="Bordered &amp; Lined - Accent 4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2">
    <w:name w:val="Bordered &amp; Lined - Accent 5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3">
    <w:name w:val="Bordered &amp; Lined - Accent 6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4">
    <w:name w:val="Bordered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5">
    <w:name w:val="Bordered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6">
    <w:name w:val="Bordered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7">
    <w:name w:val="Bordered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8">
    <w:name w:val="Bordered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9">
    <w:name w:val="Bordered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0">
    <w:name w:val="Bordered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1">
    <w:name w:val="Hyperlink"/>
    <w:uiPriority w:val="99"/>
    <w:unhideWhenUsed/>
    <w:rPr>
      <w:color w:val="0000ff" w:themeColor="hyperlink"/>
      <w:u w:val="single"/>
    </w:rPr>
  </w:style>
  <w:style w:type="paragraph" w:styleId="812">
    <w:name w:val="footnote text"/>
    <w:basedOn w:val="829"/>
    <w:link w:val="813"/>
    <w:uiPriority w:val="99"/>
    <w:semiHidden/>
    <w:unhideWhenUsed/>
    <w:pPr>
      <w:spacing w:after="40" w:line="240" w:lineRule="auto"/>
    </w:pPr>
    <w:rPr>
      <w:sz w:val="18"/>
    </w:rPr>
  </w:style>
  <w:style w:type="character" w:styleId="813">
    <w:name w:val="Footnote Text Char"/>
    <w:link w:val="812"/>
    <w:uiPriority w:val="99"/>
    <w:rPr>
      <w:sz w:val="18"/>
    </w:rPr>
  </w:style>
  <w:style w:type="character" w:styleId="814">
    <w:name w:val="footnote reference"/>
    <w:uiPriority w:val="99"/>
    <w:unhideWhenUsed/>
    <w:rPr>
      <w:vertAlign w:val="superscript"/>
    </w:rPr>
  </w:style>
  <w:style w:type="paragraph" w:styleId="815">
    <w:name w:val="endnote text"/>
    <w:basedOn w:val="829"/>
    <w:link w:val="816"/>
    <w:uiPriority w:val="99"/>
    <w:semiHidden/>
    <w:unhideWhenUsed/>
    <w:pPr>
      <w:spacing w:after="0" w:line="240" w:lineRule="auto"/>
    </w:pPr>
    <w:rPr>
      <w:sz w:val="20"/>
    </w:rPr>
  </w:style>
  <w:style w:type="character" w:styleId="816">
    <w:name w:val="Endnote Text Char"/>
    <w:link w:val="815"/>
    <w:uiPriority w:val="99"/>
    <w:rPr>
      <w:sz w:val="20"/>
    </w:rPr>
  </w:style>
  <w:style w:type="character" w:styleId="817">
    <w:name w:val="endnote reference"/>
    <w:uiPriority w:val="99"/>
    <w:semiHidden/>
    <w:unhideWhenUsed/>
    <w:rPr>
      <w:vertAlign w:val="superscript"/>
    </w:rPr>
  </w:style>
  <w:style w:type="paragraph" w:styleId="818">
    <w:name w:val="toc 1"/>
    <w:basedOn w:val="829"/>
    <w:next w:val="829"/>
    <w:uiPriority w:val="39"/>
    <w:unhideWhenUsed/>
    <w:pPr>
      <w:ind w:left="0" w:right="0" w:firstLine="0"/>
      <w:spacing w:after="57"/>
    </w:pPr>
  </w:style>
  <w:style w:type="paragraph" w:styleId="819">
    <w:name w:val="toc 2"/>
    <w:basedOn w:val="829"/>
    <w:next w:val="829"/>
    <w:uiPriority w:val="39"/>
    <w:unhideWhenUsed/>
    <w:pPr>
      <w:ind w:left="283" w:right="0" w:firstLine="0"/>
      <w:spacing w:after="57"/>
    </w:pPr>
  </w:style>
  <w:style w:type="paragraph" w:styleId="820">
    <w:name w:val="toc 3"/>
    <w:basedOn w:val="829"/>
    <w:next w:val="829"/>
    <w:uiPriority w:val="39"/>
    <w:unhideWhenUsed/>
    <w:pPr>
      <w:ind w:left="567" w:right="0" w:firstLine="0"/>
      <w:spacing w:after="57"/>
    </w:pPr>
  </w:style>
  <w:style w:type="paragraph" w:styleId="821">
    <w:name w:val="toc 4"/>
    <w:basedOn w:val="829"/>
    <w:next w:val="829"/>
    <w:uiPriority w:val="39"/>
    <w:unhideWhenUsed/>
    <w:pPr>
      <w:ind w:left="850" w:right="0" w:firstLine="0"/>
      <w:spacing w:after="57"/>
    </w:pPr>
  </w:style>
  <w:style w:type="paragraph" w:styleId="822">
    <w:name w:val="toc 5"/>
    <w:basedOn w:val="829"/>
    <w:next w:val="829"/>
    <w:uiPriority w:val="39"/>
    <w:unhideWhenUsed/>
    <w:pPr>
      <w:ind w:left="1134" w:right="0" w:firstLine="0"/>
      <w:spacing w:after="57"/>
    </w:pPr>
  </w:style>
  <w:style w:type="paragraph" w:styleId="823">
    <w:name w:val="toc 6"/>
    <w:basedOn w:val="829"/>
    <w:next w:val="829"/>
    <w:uiPriority w:val="39"/>
    <w:unhideWhenUsed/>
    <w:pPr>
      <w:ind w:left="1417" w:right="0" w:firstLine="0"/>
      <w:spacing w:after="57"/>
    </w:pPr>
  </w:style>
  <w:style w:type="paragraph" w:styleId="824">
    <w:name w:val="toc 7"/>
    <w:basedOn w:val="829"/>
    <w:next w:val="829"/>
    <w:uiPriority w:val="39"/>
    <w:unhideWhenUsed/>
    <w:pPr>
      <w:ind w:left="1701" w:right="0" w:firstLine="0"/>
      <w:spacing w:after="57"/>
    </w:pPr>
  </w:style>
  <w:style w:type="paragraph" w:styleId="825">
    <w:name w:val="toc 8"/>
    <w:basedOn w:val="829"/>
    <w:next w:val="829"/>
    <w:uiPriority w:val="39"/>
    <w:unhideWhenUsed/>
    <w:pPr>
      <w:ind w:left="1984" w:right="0" w:firstLine="0"/>
      <w:spacing w:after="57"/>
    </w:pPr>
  </w:style>
  <w:style w:type="paragraph" w:styleId="826">
    <w:name w:val="toc 9"/>
    <w:basedOn w:val="829"/>
    <w:next w:val="829"/>
    <w:uiPriority w:val="39"/>
    <w:unhideWhenUsed/>
    <w:pPr>
      <w:ind w:left="2268" w:right="0" w:firstLine="0"/>
      <w:spacing w:after="57"/>
    </w:pPr>
  </w:style>
  <w:style w:type="paragraph" w:styleId="827">
    <w:name w:val="TOC Heading"/>
    <w:uiPriority w:val="39"/>
    <w:unhideWhenUsed/>
  </w:style>
  <w:style w:type="paragraph" w:styleId="828">
    <w:name w:val="table of figures"/>
    <w:basedOn w:val="829"/>
    <w:next w:val="829"/>
    <w:uiPriority w:val="99"/>
    <w:unhideWhenUsed/>
    <w:pPr>
      <w:spacing w:after="0" w:afterAutospacing="0"/>
    </w:pPr>
  </w:style>
  <w:style w:type="paragraph" w:styleId="829" w:default="1">
    <w:name w:val="Normal"/>
    <w:qFormat/>
  </w:style>
  <w:style w:type="table" w:styleId="83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1" w:default="1">
    <w:name w:val="No List"/>
    <w:uiPriority w:val="99"/>
    <w:semiHidden/>
    <w:unhideWhenUsed/>
  </w:style>
  <w:style w:type="paragraph" w:styleId="832">
    <w:name w:val="No Spacing"/>
    <w:basedOn w:val="829"/>
    <w:uiPriority w:val="1"/>
    <w:qFormat/>
    <w:pPr>
      <w:spacing w:after="0" w:line="240" w:lineRule="auto"/>
    </w:pPr>
  </w:style>
  <w:style w:type="paragraph" w:styleId="833">
    <w:name w:val="List Paragraph"/>
    <w:basedOn w:val="829"/>
    <w:uiPriority w:val="34"/>
    <w:qFormat/>
    <w:pPr>
      <w:contextualSpacing/>
      <w:ind w:left="720"/>
    </w:pPr>
  </w:style>
  <w:style w:type="character" w:styleId="834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Relationship Id="rId9" Type="http://schemas.openxmlformats.org/officeDocument/2006/relationships/hyperlink" Target="kodeks://link/d?nd=1200073882&amp;prevdoc=1200194968&amp;point=mark=000000000000000000000000000000000000000000000000007D20K3" TargetMode="External"/><Relationship Id="rId10" Type="http://schemas.openxmlformats.org/officeDocument/2006/relationships/hyperlink" Target="kodeks://link/d?nd=1200074237&amp;prevdoc=1200194968&amp;point=mark=000000000000000000000000000000000000000000000000007D20K3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2023-11-14T06:24:54Z</dcterms:modified>
</cp:coreProperties>
</file>